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b/>
          <w:color w:val="06C656"/>
          <w:sz w:val="92"/>
        </w:rPr>
        <w:t>CESIZen</w:t>
      </w:r>
    </w:p>
    <w:p>
      <w:pPr>
        <w:jc w:val="center"/>
      </w:pPr>
      <w:r>
        <w:rPr>
          <w:color w:val="6E6E6E"/>
          <w:sz w:val="32"/>
        </w:rPr>
        <w:t>L'application de votre santé mentale</w:t>
      </w:r>
    </w:p>
    <w:p/>
    <w:p>
      <w:pPr>
        <w:jc w:val="center"/>
      </w:pPr>
      <w:r>
        <w:rPr>
          <w:b/>
          <w:color w:val="004682"/>
          <w:sz w:val="44"/>
        </w:rPr>
        <w:t>Dossier — Activité 3</w:t>
      </w:r>
    </w:p>
    <w:p>
      <w:pPr>
        <w:jc w:val="center"/>
      </w:pPr>
      <w:r>
        <w:rPr>
          <w:i/>
          <w:color w:val="23232D"/>
          <w:sz w:val="30"/>
        </w:rPr>
        <w:t>Déployer et sécuriser les applications informatiques</w:t>
      </w:r>
    </w:p>
    <w:p/>
    <w:p/>
    <w:p/>
    <w:p/>
    <w:p/>
    <w:p/>
    <w:p>
      <w:pPr>
        <w:jc w:val="center"/>
      </w:pPr>
      <w:r>
        <w:rPr>
          <w:b/>
          <w:color w:val="049641"/>
          <w:sz w:val="24"/>
        </w:rPr>
        <w:t>Plan de déploiement · Plan de maintenance · Plan de sécurisation</w:t>
      </w:r>
    </w:p>
    <w:p>
      <w:pPr>
        <w:jc w:val="center"/>
      </w:pPr>
    </w:p>
    <w:p>
      <w:pPr>
        <w:jc w:val="center"/>
      </w:pPr>
      <w:r>
        <w:rPr>
          <w:b w:val="0"/>
          <w:color w:val="23232D"/>
          <w:sz w:val="24"/>
        </w:rPr>
        <w:t>Adam Marzuk — CESI École d'Ingénieurs</w:t>
      </w:r>
    </w:p>
    <w:p>
      <w:pPr>
        <w:jc w:val="center"/>
      </w:pPr>
      <w:r>
        <w:rPr>
          <w:b w:val="0"/>
          <w:color w:val="6E6E6E"/>
          <w:sz w:val="22"/>
        </w:rPr>
        <w:t>Titre Concepteur Développeur d'Applications (CDA)</w:t>
      </w:r>
    </w:p>
    <w:p>
      <w:pPr>
        <w:jc w:val="center"/>
      </w:pPr>
      <w:r>
        <w:rPr>
          <w:b w:val="0"/>
          <w:color w:val="6E6E6E"/>
          <w:sz w:val="22"/>
        </w:rPr>
        <w:t>Bloc INFCDAAL3 — Commanditaire : Ministère des Solidarités et de la Santé</w:t>
      </w:r>
    </w:p>
    <w:p>
      <w:r>
        <w:br w:type="page"/>
      </w:r>
    </w:p>
    <w:p>
      <w:pPr>
        <w:pStyle w:val="Heading1"/>
      </w:pPr>
      <w:r>
        <w:t>Sommaire</w:t>
      </w:r>
    </w:p>
    <w:p>
      <w:r/>
      <w:fldSimple w:instr="TOC \o &quot;1-3&quot; \h \z \u">
        <w:r>
          <w:t>Faites un clic droit ici puis « Mettre à jour les champs » pour générer le sommaire.</w:t>
        </w:r>
      </w:fldSimple>
    </w:p>
    <w:p>
      <w:r>
        <w:br w:type="page"/>
      </w:r>
    </w:p>
    <w:p>
      <w:pPr>
        <w:pStyle w:val="Heading1"/>
      </w:pPr>
      <w:r>
        <w:t>1. Introduction</w:t>
      </w:r>
    </w:p>
    <w:p>
      <w:pPr>
        <w:spacing w:after="120"/>
        <w:jc w:val="both"/>
      </w:pPr>
      <w:r>
        <w:rPr>
          <w:b w:val="0"/>
          <w:i w:val="0"/>
          <w:color w:val="23232D"/>
          <w:sz w:val="21"/>
        </w:rPr>
        <w:t>CESIZen est une plateforme grand public de santé mentale simulée pour le Ministère des Solidarités et de la Santé. Elle aide chacun à mieux comprendre sa santé mentale et à agir sur son stress à travers trois modules : la gestion des comptes utilisateurs, la diffusion d'informations et un tracker d'émotions. La solution repose sur une API REST Laravel, un site web Next.js et une application mobile React Native, adossés à une base PostgreSQL.</w:t>
      </w:r>
    </w:p>
    <w:p>
      <w:pPr>
        <w:spacing w:after="120"/>
        <w:jc w:val="both"/>
      </w:pPr>
      <w:r>
        <w:rPr>
          <w:b w:val="0"/>
          <w:i w:val="0"/>
          <w:color w:val="23232D"/>
          <w:sz w:val="21"/>
        </w:rPr>
        <w:t>Après la conception (Activité 1) et le développement/test du prototype (Activité 2), la présente Activité 3 traite du déploiement et de la sécurisation de l'application. Ce dossier présente les trois livrables attendus :</w:t>
      </w:r>
    </w:p>
    <w:p>
      <w:pPr>
        <w:pStyle w:val="ListBullet"/>
        <w:spacing w:after="60"/>
      </w:pPr>
      <w:r>
        <w:rPr>
          <w:b/>
          <w:color w:val="23232D"/>
          <w:sz w:val="21"/>
        </w:rPr>
        <w:t xml:space="preserve">Un plan de déploiement — </w:t>
      </w:r>
      <w:r>
        <w:rPr>
          <w:color w:val="23232D"/>
          <w:sz w:val="21"/>
        </w:rPr>
        <w:t>l'architecture des environnements, le versioning et les automatisations de déploiement ;</w:t>
      </w:r>
    </w:p>
    <w:p>
      <w:pPr>
        <w:pStyle w:val="ListBullet"/>
        <w:spacing w:after="60"/>
      </w:pPr>
      <w:r>
        <w:rPr>
          <w:b/>
          <w:color w:val="23232D"/>
          <w:sz w:val="21"/>
        </w:rPr>
        <w:t xml:space="preserve">Un plan de maintenance — </w:t>
      </w:r>
      <w:r>
        <w:rPr>
          <w:color w:val="23232D"/>
          <w:sz w:val="21"/>
        </w:rPr>
        <w:t>un outil de ticketing configuré et la méthodologie de traitement des incidents et évolutions ;</w:t>
      </w:r>
    </w:p>
    <w:p>
      <w:pPr>
        <w:pStyle w:val="ListBullet"/>
        <w:spacing w:after="60"/>
      </w:pPr>
      <w:r>
        <w:rPr>
          <w:b/>
          <w:color w:val="23232D"/>
          <w:sz w:val="21"/>
        </w:rPr>
        <w:t xml:space="preserve">Un plan de sécurisation — </w:t>
      </w:r>
      <w:r>
        <w:rPr>
          <w:color w:val="23232D"/>
          <w:sz w:val="21"/>
        </w:rPr>
        <w:t>l'analyse des vulnérabilités, les actions préventives/correctives, la protection des données personnelles et la gestion de crise.</w:t>
      </w:r>
    </w:p>
    <w:p>
      <w:pPr>
        <w:spacing w:after="120"/>
        <w:jc w:val="both"/>
      </w:pPr>
      <w:r>
        <w:rPr>
          <w:b w:val="0"/>
          <w:i w:val="0"/>
          <w:color w:val="23232D"/>
          <w:sz w:val="21"/>
        </w:rPr>
        <w:t>Les outils de versioning, d'intégration continue et de ticketing retenus (Gitea et Coolify) sont réellement configurés et font l'objet d'une démonstration lors de la soutenance.</w:t>
      </w:r>
    </w:p>
    <w:tbl>
      <w:tblPr>
        <w:tblW w:type="auto" w:w="0"/>
        <w:jc w:val="center"/>
        <w:tblLook w:firstColumn="1" w:firstRow="1" w:lastColumn="0" w:lastRow="0" w:noHBand="0" w:noVBand="1" w:val="04A0"/>
      </w:tblPr>
      <w:tblGrid>
        <w:gridCol w:w="8640"/>
      </w:tblGrid>
      <w:tr>
        <w:tc>
          <w:tcPr>
            <w:tcW w:type="dxa" w:w="9216"/>
            <w:shd w:val="clear" w:fill="E6F0FA"/>
          </w:tcPr>
          <w:p>
            <w:pPr>
              <w:spacing w:after="40"/>
            </w:pPr>
            <w:r>
              <w:rPr>
                <w:b/>
                <w:color w:val="004682"/>
                <w:sz w:val="20"/>
              </w:rPr>
              <w:t xml:space="preserve">Périmètre.  </w:t>
            </w:r>
            <w:r>
              <w:rPr>
                <w:color w:val="23232D"/>
                <w:sz w:val="19"/>
              </w:rPr>
              <w:t>Un environnement de déploiement (la production) est réellement mis en place et accessible en ligne sur cesizen.cleanows.fr. Les trois modules du prototype (Comptes, Informations, Tracker d'émotions) y sont déployés.</w:t>
            </w:r>
          </w:p>
        </w:tc>
      </w:tr>
    </w:tbl>
    <w:p>
      <w:pPr>
        <w:spacing w:after="80"/>
      </w:pPr>
    </w:p>
    <w:p>
      <w:pPr>
        <w:pStyle w:val="Heading1"/>
      </w:pPr>
      <w:r>
        <w:t>2. Plan de déploiement</w:t>
      </w:r>
    </w:p>
    <w:p>
      <w:pPr>
        <w:pStyle w:val="Heading2"/>
      </w:pPr>
      <w:r>
        <w:t>2.1 Architecture technique de la solution</w:t>
      </w:r>
    </w:p>
    <w:p>
      <w:pPr>
        <w:spacing w:after="120"/>
        <w:jc w:val="both"/>
      </w:pPr>
      <w:r>
        <w:rPr>
          <w:b w:val="0"/>
          <w:i w:val="0"/>
          <w:color w:val="23232D"/>
          <w:sz w:val="21"/>
        </w:rPr>
        <w:t>L'application suit une architecture découplée : une API REST centrale expose la logique métier et les données, consommée par deux clients distincts (web et mobile). Ce découpage garantit la non-duplication de la logique et facilite l'ajout de nouveaux clients.</w:t>
      </w:r>
    </w:p>
    <w:tbl>
      <w:tblPr>
        <w:tblStyle w:val="TableGrid"/>
        <w:tblW w:type="auto" w:w="0"/>
        <w:jc w:val="center"/>
        <w:tblLook w:firstColumn="1" w:firstRow="1" w:lastColumn="0" w:lastRow="0" w:noHBand="0" w:noVBand="1" w:val="04A0"/>
      </w:tblPr>
      <w:tblGrid>
        <w:gridCol w:w="2880"/>
        <w:gridCol w:w="2880"/>
        <w:gridCol w:w="2880"/>
      </w:tblGrid>
      <w:tr>
        <w:tc>
          <w:tcPr>
            <w:tcW w:type="dxa" w:w="2448"/>
            <w:shd w:val="clear" w:fill="004682"/>
          </w:tcPr>
          <w:p>
            <w:pPr>
              <w:spacing w:after="20" w:before="20"/>
              <w:jc w:val="center"/>
            </w:pPr>
            <w:r/>
            <w:r>
              <w:rPr>
                <w:rFonts w:ascii="Calibri" w:hAnsi="Calibri"/>
                <w:b/>
                <w:color w:val="FFFFFF"/>
                <w:sz w:val="18"/>
              </w:rPr>
              <w:t>Composant</w:t>
            </w:r>
          </w:p>
        </w:tc>
        <w:tc>
          <w:tcPr>
            <w:tcW w:type="dxa" w:w="2736"/>
            <w:shd w:val="clear" w:fill="004682"/>
          </w:tcPr>
          <w:p>
            <w:pPr>
              <w:spacing w:after="20" w:before="20"/>
              <w:jc w:val="center"/>
            </w:pPr>
            <w:r/>
            <w:r>
              <w:rPr>
                <w:rFonts w:ascii="Calibri" w:hAnsi="Calibri"/>
                <w:b/>
                <w:color w:val="FFFFFF"/>
                <w:sz w:val="18"/>
              </w:rPr>
              <w:t>Technologie</w:t>
            </w:r>
          </w:p>
        </w:tc>
        <w:tc>
          <w:tcPr>
            <w:tcW w:type="dxa" w:w="4032"/>
            <w:shd w:val="clear" w:fill="004682"/>
          </w:tcPr>
          <w:p>
            <w:pPr>
              <w:spacing w:after="20" w:before="20"/>
              <w:jc w:val="center"/>
            </w:pPr>
            <w:r/>
            <w:r>
              <w:rPr>
                <w:rFonts w:ascii="Calibri" w:hAnsi="Calibri"/>
                <w:b/>
                <w:color w:val="FFFFFF"/>
                <w:sz w:val="18"/>
              </w:rPr>
              <w:t>Rôle</w:t>
            </w:r>
          </w:p>
        </w:tc>
      </w:tr>
      <w:tr>
        <w:tc>
          <w:tcPr>
            <w:tcW w:type="dxa" w:w="2448"/>
          </w:tcPr>
          <w:p>
            <w:pPr>
              <w:spacing w:after="20" w:before="20"/>
              <w:jc w:val="left"/>
            </w:pPr>
            <w:r/>
            <w:r>
              <w:rPr>
                <w:rFonts w:ascii="Calibri" w:hAnsi="Calibri"/>
                <w:b w:val="0"/>
                <w:color w:val="23232D"/>
                <w:sz w:val="18"/>
              </w:rPr>
              <w:t>API / Back-end</w:t>
            </w:r>
          </w:p>
        </w:tc>
        <w:tc>
          <w:tcPr>
            <w:tcW w:type="dxa" w:w="2736"/>
          </w:tcPr>
          <w:p>
            <w:pPr>
              <w:spacing w:after="20" w:before="20"/>
              <w:jc w:val="left"/>
            </w:pPr>
            <w:r/>
            <w:r>
              <w:rPr>
                <w:rFonts w:ascii="Calibri" w:hAnsi="Calibri"/>
                <w:b w:val="0"/>
                <w:color w:val="23232D"/>
                <w:sz w:val="18"/>
              </w:rPr>
              <w:t>Laravel 12 (PHP 8.4)</w:t>
            </w:r>
          </w:p>
        </w:tc>
        <w:tc>
          <w:tcPr>
            <w:tcW w:type="dxa" w:w="4032"/>
          </w:tcPr>
          <w:p>
            <w:pPr>
              <w:spacing w:after="20" w:before="20"/>
              <w:jc w:val="left"/>
            </w:pPr>
            <w:r/>
            <w:r>
              <w:rPr>
                <w:rFonts w:ascii="Calibri" w:hAnsi="Calibri"/>
                <w:b w:val="0"/>
                <w:color w:val="23232D"/>
                <w:sz w:val="18"/>
              </w:rPr>
              <w:t>API REST JSON, authentification JWT, logique métier</w:t>
            </w:r>
          </w:p>
        </w:tc>
      </w:tr>
      <w:tr>
        <w:tc>
          <w:tcPr>
            <w:tcW w:type="dxa" w:w="2448"/>
            <w:shd w:val="clear" w:fill="F2F2F2"/>
          </w:tcPr>
          <w:p>
            <w:pPr>
              <w:spacing w:after="20" w:before="20"/>
              <w:jc w:val="left"/>
            </w:pPr>
            <w:r/>
            <w:r>
              <w:rPr>
                <w:rFonts w:ascii="Calibri" w:hAnsi="Calibri"/>
                <w:b w:val="0"/>
                <w:color w:val="23232D"/>
                <w:sz w:val="18"/>
              </w:rPr>
              <w:t>Base de données</w:t>
            </w:r>
          </w:p>
        </w:tc>
        <w:tc>
          <w:tcPr>
            <w:tcW w:type="dxa" w:w="2736"/>
            <w:shd w:val="clear" w:fill="F2F2F2"/>
          </w:tcPr>
          <w:p>
            <w:pPr>
              <w:spacing w:after="20" w:before="20"/>
              <w:jc w:val="left"/>
            </w:pPr>
            <w:r/>
            <w:r>
              <w:rPr>
                <w:rFonts w:ascii="Calibri" w:hAnsi="Calibri"/>
                <w:b w:val="0"/>
                <w:color w:val="23232D"/>
                <w:sz w:val="18"/>
              </w:rPr>
              <w:t>PostgreSQL 16</w:t>
            </w:r>
          </w:p>
        </w:tc>
        <w:tc>
          <w:tcPr>
            <w:tcW w:type="dxa" w:w="4032"/>
            <w:shd w:val="clear" w:fill="F2F2F2"/>
          </w:tcPr>
          <w:p>
            <w:pPr>
              <w:spacing w:after="20" w:before="20"/>
              <w:jc w:val="left"/>
            </w:pPr>
            <w:r/>
            <w:r>
              <w:rPr>
                <w:rFonts w:ascii="Calibri" w:hAnsi="Calibri"/>
                <w:b w:val="0"/>
                <w:color w:val="23232D"/>
                <w:sz w:val="18"/>
              </w:rPr>
              <w:t>Persistance ACID des données</w:t>
            </w:r>
          </w:p>
        </w:tc>
      </w:tr>
      <w:tr>
        <w:tc>
          <w:tcPr>
            <w:tcW w:type="dxa" w:w="2448"/>
          </w:tcPr>
          <w:p>
            <w:pPr>
              <w:spacing w:after="20" w:before="20"/>
              <w:jc w:val="left"/>
            </w:pPr>
            <w:r/>
            <w:r>
              <w:rPr>
                <w:rFonts w:ascii="Calibri" w:hAnsi="Calibri"/>
                <w:b w:val="0"/>
                <w:color w:val="23232D"/>
                <w:sz w:val="18"/>
              </w:rPr>
              <w:t>Cache / file (dev)</w:t>
            </w:r>
          </w:p>
        </w:tc>
        <w:tc>
          <w:tcPr>
            <w:tcW w:type="dxa" w:w="2736"/>
          </w:tcPr>
          <w:p>
            <w:pPr>
              <w:spacing w:after="20" w:before="20"/>
              <w:jc w:val="left"/>
            </w:pPr>
            <w:r/>
            <w:r>
              <w:rPr>
                <w:rFonts w:ascii="Calibri" w:hAnsi="Calibri"/>
                <w:b w:val="0"/>
                <w:color w:val="23232D"/>
                <w:sz w:val="18"/>
              </w:rPr>
              <w:t>Redis 7</w:t>
            </w:r>
          </w:p>
        </w:tc>
        <w:tc>
          <w:tcPr>
            <w:tcW w:type="dxa" w:w="4032"/>
          </w:tcPr>
          <w:p>
            <w:pPr>
              <w:spacing w:after="20" w:before="20"/>
              <w:jc w:val="left"/>
            </w:pPr>
            <w:r/>
            <w:r>
              <w:rPr>
                <w:rFonts w:ascii="Calibri" w:hAnsi="Calibri"/>
                <w:b w:val="0"/>
                <w:color w:val="23232D"/>
                <w:sz w:val="18"/>
              </w:rPr>
              <w:t>Cache, sessions, files d'attente (environnement de dev)</w:t>
            </w:r>
          </w:p>
        </w:tc>
      </w:tr>
      <w:tr>
        <w:tc>
          <w:tcPr>
            <w:tcW w:type="dxa" w:w="2448"/>
            <w:shd w:val="clear" w:fill="F2F2F2"/>
          </w:tcPr>
          <w:p>
            <w:pPr>
              <w:spacing w:after="20" w:before="20"/>
              <w:jc w:val="left"/>
            </w:pPr>
            <w:r/>
            <w:r>
              <w:rPr>
                <w:rFonts w:ascii="Calibri" w:hAnsi="Calibri"/>
                <w:b w:val="0"/>
                <w:color w:val="23232D"/>
                <w:sz w:val="18"/>
              </w:rPr>
              <w:t>Front-end web</w:t>
            </w:r>
          </w:p>
        </w:tc>
        <w:tc>
          <w:tcPr>
            <w:tcW w:type="dxa" w:w="2736"/>
            <w:shd w:val="clear" w:fill="F2F2F2"/>
          </w:tcPr>
          <w:p>
            <w:pPr>
              <w:spacing w:after="20" w:before="20"/>
              <w:jc w:val="left"/>
            </w:pPr>
            <w:r/>
            <w:r>
              <w:rPr>
                <w:rFonts w:ascii="Calibri" w:hAnsi="Calibri"/>
                <w:b w:val="0"/>
                <w:color w:val="23232D"/>
                <w:sz w:val="18"/>
              </w:rPr>
              <w:t>Next.js 16 / React 19</w:t>
            </w:r>
          </w:p>
        </w:tc>
        <w:tc>
          <w:tcPr>
            <w:tcW w:type="dxa" w:w="4032"/>
            <w:shd w:val="clear" w:fill="F2F2F2"/>
          </w:tcPr>
          <w:p>
            <w:pPr>
              <w:spacing w:after="20" w:before="20"/>
              <w:jc w:val="left"/>
            </w:pPr>
            <w:r/>
            <w:r>
              <w:rPr>
                <w:rFonts w:ascii="Calibri" w:hAnsi="Calibri"/>
                <w:b w:val="0"/>
                <w:color w:val="23232D"/>
                <w:sz w:val="18"/>
              </w:rPr>
              <w:t>Site public et back-office, design system DSFR de l'État</w:t>
            </w:r>
          </w:p>
        </w:tc>
      </w:tr>
      <w:tr>
        <w:tc>
          <w:tcPr>
            <w:tcW w:type="dxa" w:w="2448"/>
          </w:tcPr>
          <w:p>
            <w:pPr>
              <w:spacing w:after="20" w:before="20"/>
              <w:jc w:val="left"/>
            </w:pPr>
            <w:r/>
            <w:r>
              <w:rPr>
                <w:rFonts w:ascii="Calibri" w:hAnsi="Calibri"/>
                <w:b w:val="0"/>
                <w:color w:val="23232D"/>
                <w:sz w:val="18"/>
              </w:rPr>
              <w:t>Application mobile</w:t>
            </w:r>
          </w:p>
        </w:tc>
        <w:tc>
          <w:tcPr>
            <w:tcW w:type="dxa" w:w="2736"/>
          </w:tcPr>
          <w:p>
            <w:pPr>
              <w:spacing w:after="20" w:before="20"/>
              <w:jc w:val="left"/>
            </w:pPr>
            <w:r/>
            <w:r>
              <w:rPr>
                <w:rFonts w:ascii="Calibri" w:hAnsi="Calibri"/>
                <w:b w:val="0"/>
                <w:color w:val="23232D"/>
                <w:sz w:val="18"/>
              </w:rPr>
              <w:t>React Native / Expo 54</w:t>
            </w:r>
          </w:p>
        </w:tc>
        <w:tc>
          <w:tcPr>
            <w:tcW w:type="dxa" w:w="4032"/>
          </w:tcPr>
          <w:p>
            <w:pPr>
              <w:spacing w:after="20" w:before="20"/>
              <w:jc w:val="left"/>
            </w:pPr>
            <w:r/>
            <w:r>
              <w:rPr>
                <w:rFonts w:ascii="Calibri" w:hAnsi="Calibri"/>
                <w:b w:val="0"/>
                <w:color w:val="23232D"/>
                <w:sz w:val="18"/>
              </w:rPr>
              <w:t>Application iOS &amp; Android (Mobile First)</w:t>
            </w:r>
          </w:p>
        </w:tc>
      </w:tr>
      <w:tr>
        <w:tc>
          <w:tcPr>
            <w:tcW w:type="dxa" w:w="2448"/>
            <w:shd w:val="clear" w:fill="F2F2F2"/>
          </w:tcPr>
          <w:p>
            <w:pPr>
              <w:spacing w:after="20" w:before="20"/>
              <w:jc w:val="left"/>
            </w:pPr>
            <w:r/>
            <w:r>
              <w:rPr>
                <w:rFonts w:ascii="Calibri" w:hAnsi="Calibri"/>
                <w:b w:val="0"/>
                <w:color w:val="23232D"/>
                <w:sz w:val="18"/>
              </w:rPr>
              <w:t>Conteneurisation</w:t>
            </w:r>
          </w:p>
        </w:tc>
        <w:tc>
          <w:tcPr>
            <w:tcW w:type="dxa" w:w="2736"/>
            <w:shd w:val="clear" w:fill="F2F2F2"/>
          </w:tcPr>
          <w:p>
            <w:pPr>
              <w:spacing w:after="20" w:before="20"/>
              <w:jc w:val="left"/>
            </w:pPr>
            <w:r/>
            <w:r>
              <w:rPr>
                <w:rFonts w:ascii="Calibri" w:hAnsi="Calibri"/>
                <w:b w:val="0"/>
                <w:color w:val="23232D"/>
                <w:sz w:val="18"/>
              </w:rPr>
              <w:t>Docker / Docker Compose</w:t>
            </w:r>
          </w:p>
        </w:tc>
        <w:tc>
          <w:tcPr>
            <w:tcW w:type="dxa" w:w="4032"/>
            <w:shd w:val="clear" w:fill="F2F2F2"/>
          </w:tcPr>
          <w:p>
            <w:pPr>
              <w:spacing w:after="20" w:before="20"/>
              <w:jc w:val="left"/>
            </w:pPr>
            <w:r/>
            <w:r>
              <w:rPr>
                <w:rFonts w:ascii="Calibri" w:hAnsi="Calibri"/>
                <w:b w:val="0"/>
                <w:color w:val="23232D"/>
                <w:sz w:val="18"/>
              </w:rPr>
              <w:t>Isolation et reproductibilité des environnements</w:t>
            </w:r>
          </w:p>
        </w:tc>
      </w:tr>
      <w:tr>
        <w:tc>
          <w:tcPr>
            <w:tcW w:type="dxa" w:w="2448"/>
          </w:tcPr>
          <w:p>
            <w:pPr>
              <w:spacing w:after="20" w:before="20"/>
              <w:jc w:val="left"/>
            </w:pPr>
            <w:r/>
            <w:r>
              <w:rPr>
                <w:rFonts w:ascii="Calibri" w:hAnsi="Calibri"/>
                <w:b w:val="0"/>
                <w:color w:val="23232D"/>
                <w:sz w:val="18"/>
              </w:rPr>
              <w:t>Plateforme de déploiement</w:t>
            </w:r>
          </w:p>
        </w:tc>
        <w:tc>
          <w:tcPr>
            <w:tcW w:type="dxa" w:w="2736"/>
          </w:tcPr>
          <w:p>
            <w:pPr>
              <w:spacing w:after="20" w:before="20"/>
              <w:jc w:val="left"/>
            </w:pPr>
            <w:r/>
            <w:r>
              <w:rPr>
                <w:rFonts w:ascii="Calibri" w:hAnsi="Calibri"/>
                <w:b w:val="0"/>
                <w:color w:val="23232D"/>
                <w:sz w:val="18"/>
              </w:rPr>
              <w:t>Coolify (PaaS auto-hébergé)</w:t>
            </w:r>
          </w:p>
        </w:tc>
        <w:tc>
          <w:tcPr>
            <w:tcW w:type="dxa" w:w="4032"/>
          </w:tcPr>
          <w:p>
            <w:pPr>
              <w:spacing w:after="20" w:before="20"/>
              <w:jc w:val="left"/>
            </w:pPr>
            <w:r/>
            <w:r>
              <w:rPr>
                <w:rFonts w:ascii="Calibri" w:hAnsi="Calibri"/>
                <w:b w:val="0"/>
                <w:color w:val="23232D"/>
                <w:sz w:val="18"/>
              </w:rPr>
              <w:t>Build, orchestration, HTTPS, supervision</w:t>
            </w:r>
          </w:p>
        </w:tc>
      </w:tr>
    </w:tbl>
    <w:p>
      <w:pPr>
        <w:spacing w:after="40"/>
      </w:pPr>
    </w:p>
    <w:p>
      <w:pPr>
        <w:spacing w:after="120"/>
        <w:jc w:val="both"/>
      </w:pPr>
      <w:r>
        <w:rPr>
          <w:b w:val="0"/>
          <w:i/>
          <w:color w:val="6E6E6E"/>
          <w:sz w:val="19"/>
        </w:rPr>
        <w:t>En production, le cache, les sessions et les files d'attente basculent sur la base de données (pilote « database »), ce qui évite d'exploiter Redis et simplifie l'infrastructure.</w:t>
      </w:r>
    </w:p>
    <w:p>
      <w:pPr>
        <w:pStyle w:val="Heading2"/>
      </w:pPr>
      <w:r>
        <w:t>2.2 Les trois environnements</w:t>
      </w:r>
    </w:p>
    <w:p>
      <w:pPr>
        <w:spacing w:after="120"/>
        <w:jc w:val="both"/>
      </w:pPr>
      <w:r>
        <w:rPr>
          <w:b w:val="0"/>
          <w:i w:val="0"/>
          <w:color w:val="23232D"/>
          <w:sz w:val="21"/>
        </w:rPr>
        <w:t>Le cycle de vie du logiciel s'appuie sur trois environnements distincts, du poste du développeur jusqu'à la production exposée aux utilisateurs.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872"/>
            <w:shd w:val="clear" w:fill="004682"/>
          </w:tcPr>
          <w:p>
            <w:pPr>
              <w:spacing w:after="20" w:before="20"/>
              <w:jc w:val="center"/>
            </w:pPr>
            <w:r/>
            <w:r>
              <w:rPr>
                <w:rFonts w:ascii="Calibri" w:hAnsi="Calibri"/>
                <w:b/>
                <w:color w:val="FFFFFF"/>
                <w:sz w:val="17"/>
              </w:rPr>
            </w:r>
          </w:p>
        </w:tc>
        <w:tc>
          <w:tcPr>
            <w:tcW w:type="dxa" w:w="2664"/>
            <w:shd w:val="clear" w:fill="004682"/>
          </w:tcPr>
          <w:p>
            <w:pPr>
              <w:spacing w:after="20" w:before="20"/>
              <w:jc w:val="center"/>
            </w:pPr>
            <w:r/>
            <w:r>
              <w:rPr>
                <w:rFonts w:ascii="Calibri" w:hAnsi="Calibri"/>
                <w:b/>
                <w:color w:val="FFFFFF"/>
                <w:sz w:val="17"/>
              </w:rPr>
              <w:t>Développement</w:t>
            </w:r>
          </w:p>
        </w:tc>
        <w:tc>
          <w:tcPr>
            <w:tcW w:type="dxa" w:w="2448"/>
            <w:shd w:val="clear" w:fill="004682"/>
          </w:tcPr>
          <w:p>
            <w:pPr>
              <w:spacing w:after="20" w:before="20"/>
              <w:jc w:val="center"/>
            </w:pPr>
            <w:r/>
            <w:r>
              <w:rPr>
                <w:rFonts w:ascii="Calibri" w:hAnsi="Calibri"/>
                <w:b/>
                <w:color w:val="FFFFFF"/>
                <w:sz w:val="17"/>
              </w:rPr>
              <w:t>Test / Intégration</w:t>
            </w:r>
          </w:p>
        </w:tc>
        <w:tc>
          <w:tcPr>
            <w:tcW w:type="dxa" w:w="2736"/>
            <w:shd w:val="clear" w:fill="004682"/>
          </w:tcPr>
          <w:p>
            <w:pPr>
              <w:spacing w:after="20" w:before="20"/>
              <w:jc w:val="center"/>
            </w:pPr>
            <w:r/>
            <w:r>
              <w:rPr>
                <w:rFonts w:ascii="Calibri" w:hAnsi="Calibri"/>
                <w:b/>
                <w:color w:val="FFFFFF"/>
                <w:sz w:val="17"/>
              </w:rPr>
              <w:t>Production</w:t>
            </w:r>
          </w:p>
        </w:tc>
      </w:tr>
      <w:tr>
        <w:tc>
          <w:tcPr>
            <w:tcW w:type="dxa" w:w="1872"/>
          </w:tcPr>
          <w:p>
            <w:pPr>
              <w:spacing w:after="20" w:before="20"/>
              <w:jc w:val="left"/>
            </w:pPr>
            <w:r/>
            <w:r>
              <w:rPr>
                <w:rFonts w:ascii="Calibri" w:hAnsi="Calibri"/>
                <w:b w:val="0"/>
                <w:color w:val="23232D"/>
                <w:sz w:val="17"/>
              </w:rPr>
              <w:t>Objectif</w:t>
            </w:r>
          </w:p>
        </w:tc>
        <w:tc>
          <w:tcPr>
            <w:tcW w:type="dxa" w:w="2664"/>
          </w:tcPr>
          <w:p>
            <w:pPr>
              <w:spacing w:after="20" w:before="20"/>
              <w:jc w:val="left"/>
            </w:pPr>
            <w:r/>
            <w:r>
              <w:rPr>
                <w:rFonts w:ascii="Calibri" w:hAnsi="Calibri"/>
                <w:b w:val="0"/>
                <w:color w:val="23232D"/>
                <w:sz w:val="17"/>
              </w:rPr>
              <w:t>Coder et tester en local</w:t>
            </w:r>
          </w:p>
        </w:tc>
        <w:tc>
          <w:tcPr>
            <w:tcW w:type="dxa" w:w="2448"/>
          </w:tcPr>
          <w:p>
            <w:pPr>
              <w:spacing w:after="20" w:before="20"/>
              <w:jc w:val="left"/>
            </w:pPr>
            <w:r/>
            <w:r>
              <w:rPr>
                <w:rFonts w:ascii="Calibri" w:hAnsi="Calibri"/>
                <w:b w:val="0"/>
                <w:color w:val="23232D"/>
                <w:sz w:val="17"/>
              </w:rPr>
              <w:t>Valider automatiquement chaque modification</w:t>
            </w:r>
          </w:p>
        </w:tc>
        <w:tc>
          <w:tcPr>
            <w:tcW w:type="dxa" w:w="2736"/>
          </w:tcPr>
          <w:p>
            <w:pPr>
              <w:spacing w:after="20" w:before="20"/>
              <w:jc w:val="left"/>
            </w:pPr>
            <w:r/>
            <w:r>
              <w:rPr>
                <w:rFonts w:ascii="Calibri" w:hAnsi="Calibri"/>
                <w:b w:val="0"/>
                <w:color w:val="23232D"/>
                <w:sz w:val="17"/>
              </w:rPr>
              <w:t>Servir les utilisateurs finaux</w:t>
            </w:r>
          </w:p>
        </w:tc>
      </w:tr>
      <w:tr>
        <w:tc>
          <w:tcPr>
            <w:tcW w:type="dxa" w:w="1872"/>
            <w:shd w:val="clear" w:fill="F2F2F2"/>
          </w:tcPr>
          <w:p>
            <w:pPr>
              <w:spacing w:after="20" w:before="20"/>
              <w:jc w:val="left"/>
            </w:pPr>
            <w:r/>
            <w:r>
              <w:rPr>
                <w:rFonts w:ascii="Calibri" w:hAnsi="Calibri"/>
                <w:b w:val="0"/>
                <w:color w:val="23232D"/>
                <w:sz w:val="17"/>
              </w:rPr>
              <w:t>Hébergement</w:t>
            </w:r>
          </w:p>
        </w:tc>
        <w:tc>
          <w:tcPr>
            <w:tcW w:type="dxa" w:w="2664"/>
            <w:shd w:val="clear" w:fill="F2F2F2"/>
          </w:tcPr>
          <w:p>
            <w:pPr>
              <w:spacing w:after="20" w:before="20"/>
              <w:jc w:val="left"/>
            </w:pPr>
            <w:r/>
            <w:r>
              <w:rPr>
                <w:rFonts w:ascii="Calibri" w:hAnsi="Calibri"/>
                <w:b w:val="0"/>
                <w:color w:val="23232D"/>
                <w:sz w:val="17"/>
              </w:rPr>
              <w:t>Poste du développeur</w:t>
            </w:r>
          </w:p>
        </w:tc>
        <w:tc>
          <w:tcPr>
            <w:tcW w:type="dxa" w:w="2448"/>
            <w:shd w:val="clear" w:fill="F2F2F2"/>
          </w:tcPr>
          <w:p>
            <w:pPr>
              <w:spacing w:after="20" w:before="20"/>
              <w:jc w:val="left"/>
            </w:pPr>
            <w:r/>
            <w:r>
              <w:rPr>
                <w:rFonts w:ascii="Calibri" w:hAnsi="Calibri"/>
                <w:b w:val="0"/>
                <w:color w:val="23232D"/>
                <w:sz w:val="17"/>
              </w:rPr>
              <w:t>Runner Gitea Actions (CI)</w:t>
            </w:r>
          </w:p>
        </w:tc>
        <w:tc>
          <w:tcPr>
            <w:tcW w:type="dxa" w:w="2736"/>
            <w:shd w:val="clear" w:fill="F2F2F2"/>
          </w:tcPr>
          <w:p>
            <w:pPr>
              <w:spacing w:after="20" w:before="20"/>
              <w:jc w:val="left"/>
            </w:pPr>
            <w:r/>
            <w:r>
              <w:rPr>
                <w:rFonts w:ascii="Calibri" w:hAnsi="Calibri"/>
                <w:b w:val="0"/>
                <w:color w:val="23232D"/>
                <w:sz w:val="17"/>
              </w:rPr>
              <w:t>Serveur Coolify (VPS)</w:t>
            </w:r>
          </w:p>
        </w:tc>
      </w:tr>
      <w:tr>
        <w:tc>
          <w:tcPr>
            <w:tcW w:type="dxa" w:w="1872"/>
          </w:tcPr>
          <w:p>
            <w:pPr>
              <w:spacing w:after="20" w:before="20"/>
              <w:jc w:val="left"/>
            </w:pPr>
            <w:r/>
            <w:r>
              <w:rPr>
                <w:rFonts w:ascii="Calibri" w:hAnsi="Calibri"/>
                <w:b w:val="0"/>
                <w:color w:val="23232D"/>
                <w:sz w:val="17"/>
              </w:rPr>
              <w:t>Orchestration</w:t>
            </w:r>
          </w:p>
        </w:tc>
        <w:tc>
          <w:tcPr>
            <w:tcW w:type="dxa" w:w="2664"/>
          </w:tcPr>
          <w:p>
            <w:pPr>
              <w:spacing w:after="20" w:before="20"/>
              <w:jc w:val="left"/>
            </w:pPr>
            <w:r/>
            <w:r>
              <w:rPr>
                <w:rFonts w:ascii="Calibri" w:hAnsi="Calibri"/>
                <w:b w:val="0"/>
                <w:color w:val="23232D"/>
                <w:sz w:val="17"/>
              </w:rPr>
              <w:t>docker-compose.yml</w:t>
            </w:r>
          </w:p>
        </w:tc>
        <w:tc>
          <w:tcPr>
            <w:tcW w:type="dxa" w:w="2448"/>
          </w:tcPr>
          <w:p>
            <w:pPr>
              <w:spacing w:after="20" w:before="20"/>
              <w:jc w:val="left"/>
            </w:pPr>
            <w:r/>
            <w:r>
              <w:rPr>
                <w:rFonts w:ascii="Calibri" w:hAnsi="Calibri"/>
                <w:b w:val="0"/>
                <w:color w:val="23232D"/>
                <w:sz w:val="17"/>
              </w:rPr>
              <w:t>Conteneur de CI éphémère</w:t>
            </w:r>
          </w:p>
        </w:tc>
        <w:tc>
          <w:tcPr>
            <w:tcW w:type="dxa" w:w="2736"/>
          </w:tcPr>
          <w:p>
            <w:pPr>
              <w:spacing w:after="20" w:before="20"/>
              <w:jc w:val="left"/>
            </w:pPr>
            <w:r/>
            <w:r>
              <w:rPr>
                <w:rFonts w:ascii="Calibri" w:hAnsi="Calibri"/>
                <w:b w:val="0"/>
                <w:color w:val="23232D"/>
                <w:sz w:val="17"/>
              </w:rPr>
              <w:t>docker-compose.prod.yaml</w:t>
            </w:r>
          </w:p>
        </w:tc>
      </w:tr>
      <w:tr>
        <w:tc>
          <w:tcPr>
            <w:tcW w:type="dxa" w:w="1872"/>
            <w:shd w:val="clear" w:fill="F2F2F2"/>
          </w:tcPr>
          <w:p>
            <w:pPr>
              <w:spacing w:after="20" w:before="20"/>
              <w:jc w:val="left"/>
            </w:pPr>
            <w:r/>
            <w:r>
              <w:rPr>
                <w:rFonts w:ascii="Calibri" w:hAnsi="Calibri"/>
                <w:b w:val="0"/>
                <w:color w:val="23232D"/>
                <w:sz w:val="17"/>
              </w:rPr>
              <w:t>Base de données</w:t>
            </w:r>
          </w:p>
        </w:tc>
        <w:tc>
          <w:tcPr>
            <w:tcW w:type="dxa" w:w="2664"/>
            <w:shd w:val="clear" w:fill="F2F2F2"/>
          </w:tcPr>
          <w:p>
            <w:pPr>
              <w:spacing w:after="20" w:before="20"/>
              <w:jc w:val="left"/>
            </w:pPr>
            <w:r/>
            <w:r>
              <w:rPr>
                <w:rFonts w:ascii="Calibri" w:hAnsi="Calibri"/>
                <w:b w:val="0"/>
                <w:color w:val="23232D"/>
                <w:sz w:val="17"/>
              </w:rPr>
              <w:t>PostgreSQL 16 + Redis</w:t>
            </w:r>
          </w:p>
        </w:tc>
        <w:tc>
          <w:tcPr>
            <w:tcW w:type="dxa" w:w="2448"/>
            <w:shd w:val="clear" w:fill="F2F2F2"/>
          </w:tcPr>
          <w:p>
            <w:pPr>
              <w:spacing w:after="20" w:before="20"/>
              <w:jc w:val="left"/>
            </w:pPr>
            <w:r/>
            <w:r>
              <w:rPr>
                <w:rFonts w:ascii="Calibri" w:hAnsi="Calibri"/>
                <w:b w:val="0"/>
                <w:color w:val="23232D"/>
                <w:sz w:val="17"/>
              </w:rPr>
              <w:t>SQLite en mémoire</w:t>
            </w:r>
          </w:p>
        </w:tc>
        <w:tc>
          <w:tcPr>
            <w:tcW w:type="dxa" w:w="2736"/>
            <w:shd w:val="clear" w:fill="F2F2F2"/>
          </w:tcPr>
          <w:p>
            <w:pPr>
              <w:spacing w:after="20" w:before="20"/>
              <w:jc w:val="left"/>
            </w:pPr>
            <w:r/>
            <w:r>
              <w:rPr>
                <w:rFonts w:ascii="Calibri" w:hAnsi="Calibri"/>
                <w:b w:val="0"/>
                <w:color w:val="23232D"/>
                <w:sz w:val="17"/>
              </w:rPr>
              <w:t>PostgreSQL 16 (réseau interne)</w:t>
            </w:r>
          </w:p>
        </w:tc>
      </w:tr>
      <w:tr>
        <w:tc>
          <w:tcPr>
            <w:tcW w:type="dxa" w:w="1872"/>
          </w:tcPr>
          <w:p>
            <w:pPr>
              <w:spacing w:after="20" w:before="20"/>
              <w:jc w:val="left"/>
            </w:pPr>
            <w:r/>
            <w:r>
              <w:rPr>
                <w:rFonts w:ascii="Calibri" w:hAnsi="Calibri"/>
                <w:b w:val="0"/>
                <w:color w:val="23232D"/>
                <w:sz w:val="17"/>
              </w:rPr>
              <w:t>Configuration</w:t>
            </w:r>
          </w:p>
        </w:tc>
        <w:tc>
          <w:tcPr>
            <w:tcW w:type="dxa" w:w="2664"/>
          </w:tcPr>
          <w:p>
            <w:pPr>
              <w:spacing w:after="20" w:before="20"/>
              <w:jc w:val="left"/>
            </w:pPr>
            <w:r/>
            <w:r>
              <w:rPr>
                <w:rFonts w:ascii="Calibri" w:hAnsi="Calibri"/>
                <w:b w:val="0"/>
                <w:color w:val="23232D"/>
                <w:sz w:val="17"/>
              </w:rPr>
              <w:t>APP_DEBUG=true, secrets en dur (non sensibles)</w:t>
            </w:r>
          </w:p>
        </w:tc>
        <w:tc>
          <w:tcPr>
            <w:tcW w:type="dxa" w:w="2448"/>
          </w:tcPr>
          <w:p>
            <w:pPr>
              <w:spacing w:after="20" w:before="20"/>
              <w:jc w:val="left"/>
            </w:pPr>
            <w:r/>
            <w:r>
              <w:rPr>
                <w:rFonts w:ascii="Calibri" w:hAnsi="Calibri"/>
                <w:b w:val="0"/>
                <w:color w:val="23232D"/>
                <w:sz w:val="17"/>
              </w:rPr>
              <w:t>APP_ENV=testing</w:t>
            </w:r>
          </w:p>
        </w:tc>
        <w:tc>
          <w:tcPr>
            <w:tcW w:type="dxa" w:w="2736"/>
          </w:tcPr>
          <w:p>
            <w:pPr>
              <w:spacing w:after="20" w:before="20"/>
              <w:jc w:val="left"/>
            </w:pPr>
            <w:r/>
            <w:r>
              <w:rPr>
                <w:rFonts w:ascii="Calibri" w:hAnsi="Calibri"/>
                <w:b w:val="0"/>
                <w:color w:val="23232D"/>
                <w:sz w:val="17"/>
              </w:rPr>
              <w:t>APP_DEBUG=false, secrets générés hors dépôt</w:t>
            </w:r>
          </w:p>
        </w:tc>
      </w:tr>
      <w:tr>
        <w:tc>
          <w:tcPr>
            <w:tcW w:type="dxa" w:w="1872"/>
            <w:shd w:val="clear" w:fill="F2F2F2"/>
          </w:tcPr>
          <w:p>
            <w:pPr>
              <w:spacing w:after="20" w:before="20"/>
              <w:jc w:val="left"/>
            </w:pPr>
            <w:r/>
            <w:r>
              <w:rPr>
                <w:rFonts w:ascii="Calibri" w:hAnsi="Calibri"/>
                <w:b w:val="0"/>
                <w:color w:val="23232D"/>
                <w:sz w:val="17"/>
              </w:rPr>
              <w:t>Accès</w:t>
            </w:r>
          </w:p>
        </w:tc>
        <w:tc>
          <w:tcPr>
            <w:tcW w:type="dxa" w:w="2664"/>
            <w:shd w:val="clear" w:fill="F2F2F2"/>
          </w:tcPr>
          <w:p>
            <w:pPr>
              <w:spacing w:after="20" w:before="20"/>
              <w:jc w:val="left"/>
            </w:pPr>
            <w:r/>
            <w:r>
              <w:rPr>
                <w:rFonts w:ascii="Calibri" w:hAnsi="Calibri"/>
                <w:b w:val="0"/>
                <w:color w:val="23232D"/>
                <w:sz w:val="17"/>
              </w:rPr>
              <w:t>localhost:3000 / :8000</w:t>
            </w:r>
          </w:p>
        </w:tc>
        <w:tc>
          <w:tcPr>
            <w:tcW w:type="dxa" w:w="2448"/>
            <w:shd w:val="clear" w:fill="F2F2F2"/>
          </w:tcPr>
          <w:p>
            <w:pPr>
              <w:spacing w:after="20" w:before="20"/>
              <w:jc w:val="left"/>
            </w:pPr>
            <w:r/>
            <w:r>
              <w:rPr>
                <w:rFonts w:ascii="Calibri" w:hAnsi="Calibri"/>
                <w:b w:val="0"/>
                <w:color w:val="23232D"/>
                <w:sz w:val="17"/>
              </w:rPr>
              <w:t>Journaux de la CI</w:t>
            </w:r>
          </w:p>
        </w:tc>
        <w:tc>
          <w:tcPr>
            <w:tcW w:type="dxa" w:w="2736"/>
            <w:shd w:val="clear" w:fill="F2F2F2"/>
          </w:tcPr>
          <w:p>
            <w:pPr>
              <w:spacing w:after="20" w:before="20"/>
              <w:jc w:val="left"/>
            </w:pPr>
            <w:r/>
            <w:r>
              <w:rPr>
                <w:rFonts w:ascii="Calibri" w:hAnsi="Calibri"/>
                <w:b w:val="0"/>
                <w:color w:val="23232D"/>
                <w:sz w:val="17"/>
              </w:rPr>
              <w:t>HTTPS : cesizen.cleanows.fr</w:t>
            </w:r>
          </w:p>
        </w:tc>
      </w:tr>
    </w:tbl>
    <w:p>
      <w:pPr>
        <w:spacing w:after="40"/>
      </w:pPr>
    </w:p>
    <w:p>
      <w:pPr>
        <w:pStyle w:val="Heading2"/>
      </w:pPr>
      <w:r>
        <w:t>2.3 Conteneurisation et images Docker</w:t>
      </w:r>
    </w:p>
    <w:p>
      <w:pPr>
        <w:spacing w:after="120"/>
        <w:jc w:val="both"/>
      </w:pPr>
      <w:r>
        <w:rPr>
          <w:b w:val="0"/>
          <w:i w:val="0"/>
          <w:color w:val="23232D"/>
          <w:sz w:val="21"/>
        </w:rPr>
        <w:t>Chaque service est livré sous forme d'image Docker, garantissant un fonctionnement identique d'un environnement à l'autre. Les images de développement privilégient le rechargement à chaud ; les images de production sont optimisées.</w:t>
      </w:r>
    </w:p>
    <w:p>
      <w:pPr>
        <w:pStyle w:val="ListBullet"/>
        <w:spacing w:after="60"/>
      </w:pPr>
      <w:r>
        <w:rPr>
          <w:b/>
          <w:color w:val="23232D"/>
          <w:sz w:val="21"/>
        </w:rPr>
        <w:t xml:space="preserve">Back-end — </w:t>
      </w:r>
      <w:r>
        <w:rPr>
          <w:color w:val="23232D"/>
          <w:sz w:val="21"/>
        </w:rPr>
        <w:t>l'image back-end (php:8.4-cli) installe les extensions PostgreSQL/bcmath et n'embarque que les dépendances de production (composer install --no-dev) ;</w:t>
      </w:r>
    </w:p>
    <w:p>
      <w:pPr>
        <w:pStyle w:val="ListBullet"/>
        <w:spacing w:after="60"/>
      </w:pPr>
      <w:r>
        <w:rPr>
          <w:b/>
          <w:color w:val="23232D"/>
          <w:sz w:val="21"/>
        </w:rPr>
        <w:t xml:space="preserve">Front-end — </w:t>
      </w:r>
      <w:r>
        <w:rPr>
          <w:color w:val="23232D"/>
          <w:sz w:val="21"/>
        </w:rPr>
        <w:t>l'image front-end utilise un build multi-étapes (builder → runner) et la sortie « standalone » de Next.js, produisant une image d'exécution minimale ;</w:t>
      </w:r>
    </w:p>
    <w:p>
      <w:pPr>
        <w:pStyle w:val="ListBullet"/>
        <w:spacing w:after="60"/>
      </w:pPr>
      <w:r>
        <w:rPr>
          <w:b/>
          <w:color w:val="23232D"/>
          <w:sz w:val="21"/>
        </w:rPr>
        <w:t xml:space="preserve">Démarrage — </w:t>
      </w:r>
      <w:r>
        <w:rPr>
          <w:color w:val="23232D"/>
          <w:sz w:val="21"/>
        </w:rPr>
        <w:t>un script d'entrée (entrypoint.sh) automatise au démarrage la génération des clés (APP_KEY, JWT_SECRET), les migrations, le seed idempotent et la mise en cache des routes/vues.</w:t>
      </w:r>
    </w:p>
    <w:p>
      <w:pPr>
        <w:pStyle w:val="Heading2"/>
      </w:pPr>
      <w:r>
        <w:t>2.4 Automatisations et intégration continue</w:t>
      </w:r>
    </w:p>
    <w:p>
      <w:pPr>
        <w:spacing w:after="120"/>
        <w:jc w:val="both"/>
      </w:pPr>
      <w:r>
        <w:rPr>
          <w:b w:val="0"/>
          <w:i w:val="0"/>
          <w:color w:val="23232D"/>
          <w:sz w:val="21"/>
        </w:rPr>
        <w:t>Deux automatisations complémentaires structurent la chaîne de livraison :</w:t>
      </w:r>
    </w:p>
    <w:p>
      <w:pPr>
        <w:pStyle w:val="ListBullet"/>
        <w:spacing w:after="60"/>
      </w:pPr>
      <w:r>
        <w:rPr>
          <w:b/>
          <w:color w:val="23232D"/>
          <w:sz w:val="21"/>
        </w:rPr>
        <w:t xml:space="preserve">Intégration continue (Gitea Actions) — </w:t>
      </w:r>
      <w:r>
        <w:rPr>
          <w:color w:val="23232D"/>
          <w:sz w:val="21"/>
        </w:rPr>
        <w:t>à chaque push ou pull request, le pipeline .gitea/workflows/ci.yml exécute les 29 tests automatisés (19 back-end PHPUnit, 6 web Vitest, 4 mobile Jest) et les contrôles de style (Laravel Pint, ESLint). Un changement dont les tests échouent ne peut pas être livré.</w:t>
      </w:r>
    </w:p>
    <w:p>
      <w:pPr>
        <w:pStyle w:val="ListBullet"/>
        <w:spacing w:after="60"/>
      </w:pPr>
      <w:r>
        <w:rPr>
          <w:b/>
          <w:color w:val="23232D"/>
          <w:sz w:val="21"/>
        </w:rPr>
        <w:t xml:space="preserve">Déploiement continu (Coolify) — </w:t>
      </w:r>
      <w:r>
        <w:rPr>
          <w:color w:val="23232D"/>
          <w:sz w:val="21"/>
        </w:rPr>
        <w:t>un merge sur la branche main déclenche, via un webhook, la reconstruction des images et le redéploiement par Coolify, avec migrations et seed joués automatiquement, health checks et redémarrage automatique des conteneurs.</w:t>
      </w:r>
    </w:p>
    <w:p>
      <w:pPr>
        <w:jc w:val="center"/>
      </w:pPr>
      <w:r>
        <w:drawing>
          <wp:inline xmlns:a="http://schemas.openxmlformats.org/drawingml/2006/main" xmlns:pic="http://schemas.openxmlformats.org/drawingml/2006/picture">
            <wp:extent cx="5852160" cy="3198139"/>
            <wp:docPr id="1" name="Picture 1"/>
            <wp:cNvGraphicFramePr>
              <a:graphicFrameLocks noChangeAspect="1"/>
            </wp:cNvGraphicFramePr>
            <a:graphic>
              <a:graphicData uri="http://schemas.openxmlformats.org/drawingml/2006/picture">
                <pic:pic>
                  <pic:nvPicPr>
                    <pic:cNvPr id="0" name="archi_deploiement.png"/>
                    <pic:cNvPicPr/>
                  </pic:nvPicPr>
                  <pic:blipFill>
                    <a:blip r:embed="rId9"/>
                    <a:stretch>
                      <a:fillRect/>
                    </a:stretch>
                  </pic:blipFill>
                  <pic:spPr>
                    <a:xfrm>
                      <a:off x="0" y="0"/>
                      <a:ext cx="5852160" cy="3198139"/>
                    </a:xfrm>
                    <a:prstGeom prst="rect"/>
                  </pic:spPr>
                </pic:pic>
              </a:graphicData>
            </a:graphic>
          </wp:inline>
        </w:drawing>
      </w:r>
    </w:p>
    <w:p>
      <w:pPr>
        <w:spacing w:after="160"/>
        <w:jc w:val="center"/>
      </w:pPr>
      <w:r>
        <w:rPr>
          <w:i/>
          <w:color w:val="6E6E6E"/>
          <w:sz w:val="18"/>
        </w:rPr>
        <w:t>Figure — Chaîne de déploiement : trois environnements et flux d'intégration/livraison continues.</w:t>
      </w:r>
    </w:p>
    <w:p>
      <w:pPr>
        <w:pStyle w:val="Heading2"/>
      </w:pPr>
      <w:r>
        <w:t>2.5 Étapes de déploiement et ressources</w:t>
      </w:r>
    </w:p>
    <w:p>
      <w:pPr>
        <w:spacing w:after="120"/>
        <w:jc w:val="both"/>
      </w:pPr>
      <w:r>
        <w:rPr>
          <w:b w:val="0"/>
          <w:i w:val="0"/>
          <w:color w:val="23232D"/>
          <w:sz w:val="21"/>
        </w:rPr>
        <w:t>Le déploiement en production se déroule selon les étapes suivantes, entièrement automatisées après le déclenchement :</w:t>
      </w:r>
    </w:p>
    <w:tbl>
      <w:tblPr>
        <w:tblStyle w:val="TableGrid"/>
        <w:tblW w:type="auto" w:w="0"/>
        <w:jc w:val="center"/>
        <w:tblLook w:firstColumn="1" w:firstRow="1" w:lastColumn="0" w:lastRow="0" w:noHBand="0" w:noVBand="1" w:val="04A0"/>
      </w:tblPr>
      <w:tblGrid>
        <w:gridCol w:w="2880"/>
        <w:gridCol w:w="2880"/>
        <w:gridCol w:w="2880"/>
      </w:tblGrid>
      <w:tr>
        <w:tc>
          <w:tcPr>
            <w:tcW w:type="dxa" w:w="2016"/>
            <w:shd w:val="clear" w:fill="004682"/>
          </w:tcPr>
          <w:p>
            <w:pPr>
              <w:spacing w:after="20" w:before="20"/>
              <w:jc w:val="center"/>
            </w:pPr>
            <w:r/>
            <w:r>
              <w:rPr>
                <w:rFonts w:ascii="Calibri" w:hAnsi="Calibri"/>
                <w:b/>
                <w:color w:val="FFFFFF"/>
                <w:sz w:val="18"/>
              </w:rPr>
              <w:t>Étape</w:t>
            </w:r>
          </w:p>
        </w:tc>
        <w:tc>
          <w:tcPr>
            <w:tcW w:type="dxa" w:w="3744"/>
            <w:shd w:val="clear" w:fill="004682"/>
          </w:tcPr>
          <w:p>
            <w:pPr>
              <w:spacing w:after="20" w:before="20"/>
              <w:jc w:val="center"/>
            </w:pPr>
            <w:r/>
            <w:r>
              <w:rPr>
                <w:rFonts w:ascii="Calibri" w:hAnsi="Calibri"/>
                <w:b/>
                <w:color w:val="FFFFFF"/>
                <w:sz w:val="18"/>
              </w:rPr>
              <w:t>Action</w:t>
            </w:r>
          </w:p>
        </w:tc>
        <w:tc>
          <w:tcPr>
            <w:tcW w:type="dxa" w:w="3456"/>
            <w:shd w:val="clear" w:fill="004682"/>
          </w:tcPr>
          <w:p>
            <w:pPr>
              <w:spacing w:after="20" w:before="20"/>
              <w:jc w:val="center"/>
            </w:pPr>
            <w:r/>
            <w:r>
              <w:rPr>
                <w:rFonts w:ascii="Calibri" w:hAnsi="Calibri"/>
                <w:b/>
                <w:color w:val="FFFFFF"/>
                <w:sz w:val="18"/>
              </w:rPr>
              <w:t>Automatisation</w:t>
            </w:r>
          </w:p>
        </w:tc>
      </w:tr>
      <w:tr>
        <w:tc>
          <w:tcPr>
            <w:tcW w:type="dxa" w:w="2016"/>
          </w:tcPr>
          <w:p>
            <w:pPr>
              <w:spacing w:after="20" w:before="20"/>
              <w:jc w:val="left"/>
            </w:pPr>
            <w:r/>
            <w:r>
              <w:rPr>
                <w:rFonts w:ascii="Calibri" w:hAnsi="Calibri"/>
                <w:b w:val="0"/>
                <w:color w:val="23232D"/>
                <w:sz w:val="18"/>
              </w:rPr>
              <w:t>1. Récupération</w:t>
            </w:r>
          </w:p>
        </w:tc>
        <w:tc>
          <w:tcPr>
            <w:tcW w:type="dxa" w:w="3744"/>
          </w:tcPr>
          <w:p>
            <w:pPr>
              <w:spacing w:after="20" w:before="20"/>
              <w:jc w:val="left"/>
            </w:pPr>
            <w:r/>
            <w:r>
              <w:rPr>
                <w:rFonts w:ascii="Calibri" w:hAnsi="Calibri"/>
                <w:b w:val="0"/>
                <w:color w:val="23232D"/>
                <w:sz w:val="18"/>
              </w:rPr>
              <w:t>Coolify clone la révision de main</w:t>
            </w:r>
          </w:p>
        </w:tc>
        <w:tc>
          <w:tcPr>
            <w:tcW w:type="dxa" w:w="3456"/>
          </w:tcPr>
          <w:p>
            <w:pPr>
              <w:spacing w:after="20" w:before="20"/>
              <w:jc w:val="left"/>
            </w:pPr>
            <w:r/>
            <w:r>
              <w:rPr>
                <w:rFonts w:ascii="Calibri" w:hAnsi="Calibri"/>
                <w:b w:val="0"/>
                <w:color w:val="23232D"/>
                <w:sz w:val="18"/>
              </w:rPr>
              <w:t>Webhook Gitea → Coolify</w:t>
            </w:r>
          </w:p>
        </w:tc>
      </w:tr>
      <w:tr>
        <w:tc>
          <w:tcPr>
            <w:tcW w:type="dxa" w:w="2016"/>
            <w:shd w:val="clear" w:fill="F2F2F2"/>
          </w:tcPr>
          <w:p>
            <w:pPr>
              <w:spacing w:after="20" w:before="20"/>
              <w:jc w:val="left"/>
            </w:pPr>
            <w:r/>
            <w:r>
              <w:rPr>
                <w:rFonts w:ascii="Calibri" w:hAnsi="Calibri"/>
                <w:b w:val="0"/>
                <w:color w:val="23232D"/>
                <w:sz w:val="18"/>
              </w:rPr>
              <w:t>2. Build</w:t>
            </w:r>
          </w:p>
        </w:tc>
        <w:tc>
          <w:tcPr>
            <w:tcW w:type="dxa" w:w="3744"/>
            <w:shd w:val="clear" w:fill="F2F2F2"/>
          </w:tcPr>
          <w:p>
            <w:pPr>
              <w:spacing w:after="20" w:before="20"/>
              <w:jc w:val="left"/>
            </w:pPr>
            <w:r/>
            <w:r>
              <w:rPr>
                <w:rFonts w:ascii="Calibri" w:hAnsi="Calibri"/>
                <w:b w:val="0"/>
                <w:color w:val="23232D"/>
                <w:sz w:val="18"/>
              </w:rPr>
              <w:t>Construction des images back &amp; front</w:t>
            </w:r>
          </w:p>
        </w:tc>
        <w:tc>
          <w:tcPr>
            <w:tcW w:type="dxa" w:w="3456"/>
            <w:shd w:val="clear" w:fill="F2F2F2"/>
          </w:tcPr>
          <w:p>
            <w:pPr>
              <w:spacing w:after="20" w:before="20"/>
              <w:jc w:val="left"/>
            </w:pPr>
            <w:r/>
            <w:r>
              <w:rPr>
                <w:rFonts w:ascii="Calibri" w:hAnsi="Calibri"/>
                <w:b w:val="0"/>
                <w:color w:val="23232D"/>
                <w:sz w:val="18"/>
              </w:rPr>
              <w:t>Dockerfile.prod (multi-étapes)</w:t>
            </w:r>
          </w:p>
        </w:tc>
      </w:tr>
      <w:tr>
        <w:tc>
          <w:tcPr>
            <w:tcW w:type="dxa" w:w="2016"/>
          </w:tcPr>
          <w:p>
            <w:pPr>
              <w:spacing w:after="20" w:before="20"/>
              <w:jc w:val="left"/>
            </w:pPr>
            <w:r/>
            <w:r>
              <w:rPr>
                <w:rFonts w:ascii="Calibri" w:hAnsi="Calibri"/>
                <w:b w:val="0"/>
                <w:color w:val="23232D"/>
                <w:sz w:val="18"/>
              </w:rPr>
              <w:t>3. Secrets</w:t>
            </w:r>
          </w:p>
        </w:tc>
        <w:tc>
          <w:tcPr>
            <w:tcW w:type="dxa" w:w="3744"/>
          </w:tcPr>
          <w:p>
            <w:pPr>
              <w:spacing w:after="20" w:before="20"/>
              <w:jc w:val="left"/>
            </w:pPr>
            <w:r/>
            <w:r>
              <w:rPr>
                <w:rFonts w:ascii="Calibri" w:hAnsi="Calibri"/>
                <w:b w:val="0"/>
                <w:color w:val="23232D"/>
                <w:sz w:val="18"/>
              </w:rPr>
              <w:t>Génération APP_KEY / JWT_SECRET si absents</w:t>
            </w:r>
          </w:p>
        </w:tc>
        <w:tc>
          <w:tcPr>
            <w:tcW w:type="dxa" w:w="3456"/>
          </w:tcPr>
          <w:p>
            <w:pPr>
              <w:spacing w:after="20" w:before="20"/>
              <w:jc w:val="left"/>
            </w:pPr>
            <w:r/>
            <w:r>
              <w:rPr>
                <w:rFonts w:ascii="Calibri" w:hAnsi="Calibri"/>
                <w:b w:val="0"/>
                <w:color w:val="23232D"/>
                <w:sz w:val="18"/>
              </w:rPr>
              <w:t>entrypoint.sh</w:t>
            </w:r>
          </w:p>
        </w:tc>
      </w:tr>
      <w:tr>
        <w:tc>
          <w:tcPr>
            <w:tcW w:type="dxa" w:w="2016"/>
            <w:shd w:val="clear" w:fill="F2F2F2"/>
          </w:tcPr>
          <w:p>
            <w:pPr>
              <w:spacing w:after="20" w:before="20"/>
              <w:jc w:val="left"/>
            </w:pPr>
            <w:r/>
            <w:r>
              <w:rPr>
                <w:rFonts w:ascii="Calibri" w:hAnsi="Calibri"/>
                <w:b w:val="0"/>
                <w:color w:val="23232D"/>
                <w:sz w:val="18"/>
              </w:rPr>
              <w:t>4. Base de données</w:t>
            </w:r>
          </w:p>
        </w:tc>
        <w:tc>
          <w:tcPr>
            <w:tcW w:type="dxa" w:w="3744"/>
            <w:shd w:val="clear" w:fill="F2F2F2"/>
          </w:tcPr>
          <w:p>
            <w:pPr>
              <w:spacing w:after="20" w:before="20"/>
              <w:jc w:val="left"/>
            </w:pPr>
            <w:r/>
            <w:r>
              <w:rPr>
                <w:rFonts w:ascii="Calibri" w:hAnsi="Calibri"/>
                <w:b w:val="0"/>
                <w:color w:val="23232D"/>
                <w:sz w:val="18"/>
              </w:rPr>
              <w:t>Migrations + seed idempotent</w:t>
            </w:r>
          </w:p>
        </w:tc>
        <w:tc>
          <w:tcPr>
            <w:tcW w:type="dxa" w:w="3456"/>
            <w:shd w:val="clear" w:fill="F2F2F2"/>
          </w:tcPr>
          <w:p>
            <w:pPr>
              <w:spacing w:after="20" w:before="20"/>
              <w:jc w:val="left"/>
            </w:pPr>
            <w:r/>
            <w:r>
              <w:rPr>
                <w:rFonts w:ascii="Calibri" w:hAnsi="Calibri"/>
                <w:b w:val="0"/>
                <w:color w:val="23232D"/>
                <w:sz w:val="18"/>
              </w:rPr>
              <w:t>artisan migrate --force / db:seed</w:t>
            </w:r>
          </w:p>
        </w:tc>
      </w:tr>
      <w:tr>
        <w:tc>
          <w:tcPr>
            <w:tcW w:type="dxa" w:w="2016"/>
          </w:tcPr>
          <w:p>
            <w:pPr>
              <w:spacing w:after="20" w:before="20"/>
              <w:jc w:val="left"/>
            </w:pPr>
            <w:r/>
            <w:r>
              <w:rPr>
                <w:rFonts w:ascii="Calibri" w:hAnsi="Calibri"/>
                <w:b w:val="0"/>
                <w:color w:val="23232D"/>
                <w:sz w:val="18"/>
              </w:rPr>
              <w:t>5. Démarrage</w:t>
            </w:r>
          </w:p>
        </w:tc>
        <w:tc>
          <w:tcPr>
            <w:tcW w:type="dxa" w:w="3744"/>
          </w:tcPr>
          <w:p>
            <w:pPr>
              <w:spacing w:after="20" w:before="20"/>
              <w:jc w:val="left"/>
            </w:pPr>
            <w:r/>
            <w:r>
              <w:rPr>
                <w:rFonts w:ascii="Calibri" w:hAnsi="Calibri"/>
                <w:b w:val="0"/>
                <w:color w:val="23232D"/>
                <w:sz w:val="18"/>
              </w:rPr>
              <w:t>Lancement des conteneurs + health checks</w:t>
            </w:r>
          </w:p>
        </w:tc>
        <w:tc>
          <w:tcPr>
            <w:tcW w:type="dxa" w:w="3456"/>
          </w:tcPr>
          <w:p>
            <w:pPr>
              <w:spacing w:after="20" w:before="20"/>
              <w:jc w:val="left"/>
            </w:pPr>
            <w:r/>
            <w:r>
              <w:rPr>
                <w:rFonts w:ascii="Calibri" w:hAnsi="Calibri"/>
                <w:b w:val="0"/>
                <w:color w:val="23232D"/>
                <w:sz w:val="18"/>
              </w:rPr>
              <w:t>docker-compose.prod.yaml</w:t>
            </w:r>
          </w:p>
        </w:tc>
      </w:tr>
      <w:tr>
        <w:tc>
          <w:tcPr>
            <w:tcW w:type="dxa" w:w="2016"/>
            <w:shd w:val="clear" w:fill="F2F2F2"/>
          </w:tcPr>
          <w:p>
            <w:pPr>
              <w:spacing w:after="20" w:before="20"/>
              <w:jc w:val="left"/>
            </w:pPr>
            <w:r/>
            <w:r>
              <w:rPr>
                <w:rFonts w:ascii="Calibri" w:hAnsi="Calibri"/>
                <w:b w:val="0"/>
                <w:color w:val="23232D"/>
                <w:sz w:val="18"/>
              </w:rPr>
              <w:t>6. Exposition</w:t>
            </w:r>
          </w:p>
        </w:tc>
        <w:tc>
          <w:tcPr>
            <w:tcW w:type="dxa" w:w="3744"/>
            <w:shd w:val="clear" w:fill="F2F2F2"/>
          </w:tcPr>
          <w:p>
            <w:pPr>
              <w:spacing w:after="20" w:before="20"/>
              <w:jc w:val="left"/>
            </w:pPr>
            <w:r/>
            <w:r>
              <w:rPr>
                <w:rFonts w:ascii="Calibri" w:hAnsi="Calibri"/>
                <w:b w:val="0"/>
                <w:color w:val="23232D"/>
                <w:sz w:val="18"/>
              </w:rPr>
              <w:t>Routage HTTPS/TLS et certificat</w:t>
            </w:r>
          </w:p>
        </w:tc>
        <w:tc>
          <w:tcPr>
            <w:tcW w:type="dxa" w:w="3456"/>
            <w:shd w:val="clear" w:fill="F2F2F2"/>
          </w:tcPr>
          <w:p>
            <w:pPr>
              <w:spacing w:after="20" w:before="20"/>
              <w:jc w:val="left"/>
            </w:pPr>
            <w:r/>
            <w:r>
              <w:rPr>
                <w:rFonts w:ascii="Calibri" w:hAnsi="Calibri"/>
                <w:b w:val="0"/>
                <w:color w:val="23232D"/>
                <w:sz w:val="18"/>
              </w:rPr>
              <w:t>Reverse proxy Coolify</w:t>
            </w:r>
          </w:p>
        </w:tc>
      </w:tr>
      <w:tr>
        <w:tc>
          <w:tcPr>
            <w:tcW w:type="dxa" w:w="2016"/>
          </w:tcPr>
          <w:p>
            <w:pPr>
              <w:spacing w:after="20" w:before="20"/>
              <w:jc w:val="left"/>
            </w:pPr>
            <w:r/>
            <w:r>
              <w:rPr>
                <w:rFonts w:ascii="Calibri" w:hAnsi="Calibri"/>
                <w:b w:val="0"/>
                <w:color w:val="23232D"/>
                <w:sz w:val="18"/>
              </w:rPr>
              <w:t>7. Supervision</w:t>
            </w:r>
          </w:p>
        </w:tc>
        <w:tc>
          <w:tcPr>
            <w:tcW w:type="dxa" w:w="3744"/>
          </w:tcPr>
          <w:p>
            <w:pPr>
              <w:spacing w:after="20" w:before="20"/>
              <w:jc w:val="left"/>
            </w:pPr>
            <w:r/>
            <w:r>
              <w:rPr>
                <w:rFonts w:ascii="Calibri" w:hAnsi="Calibri"/>
                <w:b w:val="0"/>
                <w:color w:val="23232D"/>
                <w:sz w:val="18"/>
              </w:rPr>
              <w:t>Vérification /up et redémarrage auto</w:t>
            </w:r>
          </w:p>
        </w:tc>
        <w:tc>
          <w:tcPr>
            <w:tcW w:type="dxa" w:w="3456"/>
          </w:tcPr>
          <w:p>
            <w:pPr>
              <w:spacing w:after="20" w:before="20"/>
              <w:jc w:val="left"/>
            </w:pPr>
            <w:r/>
            <w:r>
              <w:rPr>
                <w:rFonts w:ascii="Calibri" w:hAnsi="Calibri"/>
                <w:b w:val="0"/>
                <w:color w:val="23232D"/>
                <w:sz w:val="18"/>
              </w:rPr>
              <w:t>healthcheck + restart: unless-stopped</w:t>
            </w:r>
          </w:p>
        </w:tc>
      </w:tr>
    </w:tbl>
    <w:p>
      <w:pPr>
        <w:spacing w:after="40"/>
      </w:pPr>
    </w:p>
    <w:p>
      <w:pPr>
        <w:spacing w:after="120"/>
        <w:jc w:val="both"/>
      </w:pPr>
      <w:r>
        <w:rPr>
          <w:b w:val="0"/>
          <w:i w:val="0"/>
          <w:color w:val="23232D"/>
          <w:sz w:val="21"/>
        </w:rPr>
        <w:t>Ressources et dimensionnement — l'application grand public est dimensionnée pour un VPS unique (2 vCPU, 4 Go de RAM, 40 Go SSD) hébergeant les trois conteneurs, suffisant pour la phase de test de 12 mois. La montée en charge se fait horizontalement (réplication des conteneurs back et front derrière le reverse proxy, base de données managée) sans refonte, l'API étant stateless.</w:t>
      </w:r>
    </w:p>
    <w:p>
      <w:r>
        <w:br w:type="page"/>
      </w:r>
    </w:p>
    <w:p>
      <w:pPr>
        <w:pStyle w:val="Heading1"/>
      </w:pPr>
      <w:r>
        <w:t>3. Gestion des sources et versioning</w:t>
      </w:r>
    </w:p>
    <w:p>
      <w:pPr>
        <w:pStyle w:val="Heading2"/>
      </w:pPr>
      <w:r>
        <w:t>3.1 Outil retenu : Gitea</w:t>
      </w:r>
    </w:p>
    <w:p>
      <w:pPr>
        <w:spacing w:after="120"/>
        <w:jc w:val="both"/>
      </w:pPr>
      <w:r>
        <w:rPr>
          <w:b w:val="0"/>
          <w:i w:val="0"/>
          <w:color w:val="23232D"/>
          <w:sz w:val="21"/>
        </w:rPr>
        <w:t>Le versioning s'appuie sur Git, hébergé sur une instance Gitea auto-hébergée. Gitea a été retenu car il réunit dans un seul outil, souverain et gratuit, le dépôt Git, le suivi des tickets, l'intégration continue (Gitea Actions) et la gestion des versions — cohérent avec un projet porté par un ministère (hébergement maîtrisé, pas de dépendance à un service tiers hors UE).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3456"/>
            <w:shd w:val="clear" w:fill="004682"/>
          </w:tcPr>
          <w:p>
            <w:pPr>
              <w:spacing w:after="20" w:before="20"/>
              <w:jc w:val="center"/>
            </w:pPr>
            <w:r/>
            <w:r>
              <w:rPr>
                <w:rFonts w:ascii="Calibri" w:hAnsi="Calibri"/>
                <w:b/>
                <w:color w:val="FFFFFF"/>
                <w:sz w:val="18"/>
              </w:rPr>
              <w:t>Critère</w:t>
            </w:r>
          </w:p>
        </w:tc>
        <w:tc>
          <w:tcPr>
            <w:tcW w:type="dxa" w:w="2016"/>
            <w:shd w:val="clear" w:fill="004682"/>
          </w:tcPr>
          <w:p>
            <w:pPr>
              <w:spacing w:after="20" w:before="20"/>
              <w:jc w:val="center"/>
            </w:pPr>
            <w:r/>
            <w:r>
              <w:rPr>
                <w:rFonts w:ascii="Calibri" w:hAnsi="Calibri"/>
                <w:b/>
                <w:color w:val="FFFFFF"/>
                <w:sz w:val="18"/>
              </w:rPr>
              <w:t>Gitea</w:t>
            </w:r>
          </w:p>
        </w:tc>
        <w:tc>
          <w:tcPr>
            <w:tcW w:type="dxa" w:w="2016"/>
            <w:shd w:val="clear" w:fill="004682"/>
          </w:tcPr>
          <w:p>
            <w:pPr>
              <w:spacing w:after="20" w:before="20"/>
              <w:jc w:val="center"/>
            </w:pPr>
            <w:r/>
            <w:r>
              <w:rPr>
                <w:rFonts w:ascii="Calibri" w:hAnsi="Calibri"/>
                <w:b/>
                <w:color w:val="FFFFFF"/>
                <w:sz w:val="18"/>
              </w:rPr>
              <w:t>GitHub</w:t>
            </w:r>
          </w:p>
        </w:tc>
        <w:tc>
          <w:tcPr>
            <w:tcW w:type="dxa" w:w="2016"/>
            <w:shd w:val="clear" w:fill="004682"/>
          </w:tcPr>
          <w:p>
            <w:pPr>
              <w:spacing w:after="20" w:before="20"/>
              <w:jc w:val="center"/>
            </w:pPr>
            <w:r/>
            <w:r>
              <w:rPr>
                <w:rFonts w:ascii="Calibri" w:hAnsi="Calibri"/>
                <w:b/>
                <w:color w:val="FFFFFF"/>
                <w:sz w:val="18"/>
              </w:rPr>
              <w:t>GitLab</w:t>
            </w:r>
          </w:p>
        </w:tc>
      </w:tr>
      <w:tr>
        <w:tc>
          <w:tcPr>
            <w:tcW w:type="dxa" w:w="3456"/>
          </w:tcPr>
          <w:p>
            <w:pPr>
              <w:spacing w:after="20" w:before="20"/>
              <w:jc w:val="left"/>
            </w:pPr>
            <w:r/>
            <w:r>
              <w:rPr>
                <w:rFonts w:ascii="Calibri" w:hAnsi="Calibri"/>
                <w:b w:val="0"/>
                <w:color w:val="23232D"/>
                <w:sz w:val="18"/>
              </w:rPr>
              <w:t>Souveraineté / auto-hébergement</w:t>
            </w:r>
          </w:p>
        </w:tc>
        <w:tc>
          <w:tcPr>
            <w:tcW w:type="dxa" w:w="2016"/>
          </w:tcPr>
          <w:p>
            <w:pPr>
              <w:spacing w:after="20" w:before="20"/>
              <w:jc w:val="left"/>
            </w:pPr>
            <w:r/>
            <w:r>
              <w:rPr>
                <w:rFonts w:ascii="Calibri" w:hAnsi="Calibri"/>
                <w:b w:val="0"/>
                <w:color w:val="23232D"/>
                <w:sz w:val="18"/>
              </w:rPr>
              <w:t>Oui (léger)</w:t>
            </w:r>
          </w:p>
        </w:tc>
        <w:tc>
          <w:tcPr>
            <w:tcW w:type="dxa" w:w="2016"/>
          </w:tcPr>
          <w:p>
            <w:pPr>
              <w:spacing w:after="20" w:before="20"/>
              <w:jc w:val="left"/>
            </w:pPr>
            <w:r/>
            <w:r>
              <w:rPr>
                <w:rFonts w:ascii="Calibri" w:hAnsi="Calibri"/>
                <w:b w:val="0"/>
                <w:color w:val="23232D"/>
                <w:sz w:val="18"/>
              </w:rPr>
              <w:t>Non (SaaS US)</w:t>
            </w:r>
          </w:p>
        </w:tc>
        <w:tc>
          <w:tcPr>
            <w:tcW w:type="dxa" w:w="2016"/>
          </w:tcPr>
          <w:p>
            <w:pPr>
              <w:spacing w:after="20" w:before="20"/>
              <w:jc w:val="left"/>
            </w:pPr>
            <w:r/>
            <w:r>
              <w:rPr>
                <w:rFonts w:ascii="Calibri" w:hAnsi="Calibri"/>
                <w:b w:val="0"/>
                <w:color w:val="23232D"/>
                <w:sz w:val="18"/>
              </w:rPr>
              <w:t>Oui (lourd)</w:t>
            </w:r>
          </w:p>
        </w:tc>
      </w:tr>
      <w:tr>
        <w:tc>
          <w:tcPr>
            <w:tcW w:type="dxa" w:w="3456"/>
            <w:shd w:val="clear" w:fill="F2F2F2"/>
          </w:tcPr>
          <w:p>
            <w:pPr>
              <w:spacing w:after="20" w:before="20"/>
              <w:jc w:val="left"/>
            </w:pPr>
            <w:r/>
            <w:r>
              <w:rPr>
                <w:rFonts w:ascii="Calibri" w:hAnsi="Calibri"/>
                <w:b w:val="0"/>
                <w:color w:val="23232D"/>
                <w:sz w:val="18"/>
              </w:rPr>
              <w:t>Ticketing intégré</w:t>
            </w:r>
          </w:p>
        </w:tc>
        <w:tc>
          <w:tcPr>
            <w:tcW w:type="dxa" w:w="2016"/>
            <w:shd w:val="clear" w:fill="F2F2F2"/>
          </w:tcPr>
          <w:p>
            <w:pPr>
              <w:spacing w:after="20" w:before="20"/>
              <w:jc w:val="left"/>
            </w:pPr>
            <w:r/>
            <w:r>
              <w:rPr>
                <w:rFonts w:ascii="Calibri" w:hAnsi="Calibri"/>
                <w:b w:val="0"/>
                <w:color w:val="23232D"/>
                <w:sz w:val="18"/>
              </w:rPr>
              <w:t>Oui</w:t>
            </w:r>
          </w:p>
        </w:tc>
        <w:tc>
          <w:tcPr>
            <w:tcW w:type="dxa" w:w="2016"/>
            <w:shd w:val="clear" w:fill="F2F2F2"/>
          </w:tcPr>
          <w:p>
            <w:pPr>
              <w:spacing w:after="20" w:before="20"/>
              <w:jc w:val="left"/>
            </w:pPr>
            <w:r/>
            <w:r>
              <w:rPr>
                <w:rFonts w:ascii="Calibri" w:hAnsi="Calibri"/>
                <w:b w:val="0"/>
                <w:color w:val="23232D"/>
                <w:sz w:val="18"/>
              </w:rPr>
              <w:t>Oui</w:t>
            </w:r>
          </w:p>
        </w:tc>
        <w:tc>
          <w:tcPr>
            <w:tcW w:type="dxa" w:w="2016"/>
            <w:shd w:val="clear" w:fill="F2F2F2"/>
          </w:tcPr>
          <w:p>
            <w:pPr>
              <w:spacing w:after="20" w:before="20"/>
              <w:jc w:val="left"/>
            </w:pPr>
            <w:r/>
            <w:r>
              <w:rPr>
                <w:rFonts w:ascii="Calibri" w:hAnsi="Calibri"/>
                <w:b w:val="0"/>
                <w:color w:val="23232D"/>
                <w:sz w:val="18"/>
              </w:rPr>
              <w:t>Oui</w:t>
            </w:r>
          </w:p>
        </w:tc>
      </w:tr>
      <w:tr>
        <w:tc>
          <w:tcPr>
            <w:tcW w:type="dxa" w:w="3456"/>
          </w:tcPr>
          <w:p>
            <w:pPr>
              <w:spacing w:after="20" w:before="20"/>
              <w:jc w:val="left"/>
            </w:pPr>
            <w:r/>
            <w:r>
              <w:rPr>
                <w:rFonts w:ascii="Calibri" w:hAnsi="Calibri"/>
                <w:b w:val="0"/>
                <w:color w:val="23232D"/>
                <w:sz w:val="18"/>
              </w:rPr>
              <w:t>CI/CD intégrée</w:t>
            </w:r>
          </w:p>
        </w:tc>
        <w:tc>
          <w:tcPr>
            <w:tcW w:type="dxa" w:w="2016"/>
          </w:tcPr>
          <w:p>
            <w:pPr>
              <w:spacing w:after="20" w:before="20"/>
              <w:jc w:val="left"/>
            </w:pPr>
            <w:r/>
            <w:r>
              <w:rPr>
                <w:rFonts w:ascii="Calibri" w:hAnsi="Calibri"/>
                <w:b w:val="0"/>
                <w:color w:val="23232D"/>
                <w:sz w:val="18"/>
              </w:rPr>
              <w:t>Oui (Actions)</w:t>
            </w:r>
          </w:p>
        </w:tc>
        <w:tc>
          <w:tcPr>
            <w:tcW w:type="dxa" w:w="2016"/>
          </w:tcPr>
          <w:p>
            <w:pPr>
              <w:spacing w:after="20" w:before="20"/>
              <w:jc w:val="left"/>
            </w:pPr>
            <w:r/>
            <w:r>
              <w:rPr>
                <w:rFonts w:ascii="Calibri" w:hAnsi="Calibri"/>
                <w:b w:val="0"/>
                <w:color w:val="23232D"/>
                <w:sz w:val="18"/>
              </w:rPr>
              <w:t>Oui</w:t>
            </w:r>
          </w:p>
        </w:tc>
        <w:tc>
          <w:tcPr>
            <w:tcW w:type="dxa" w:w="2016"/>
          </w:tcPr>
          <w:p>
            <w:pPr>
              <w:spacing w:after="20" w:before="20"/>
              <w:jc w:val="left"/>
            </w:pPr>
            <w:r/>
            <w:r>
              <w:rPr>
                <w:rFonts w:ascii="Calibri" w:hAnsi="Calibri"/>
                <w:b w:val="0"/>
                <w:color w:val="23232D"/>
                <w:sz w:val="18"/>
              </w:rPr>
              <w:t>Oui</w:t>
            </w:r>
          </w:p>
        </w:tc>
      </w:tr>
      <w:tr>
        <w:tc>
          <w:tcPr>
            <w:tcW w:type="dxa" w:w="3456"/>
            <w:shd w:val="clear" w:fill="F2F2F2"/>
          </w:tcPr>
          <w:p>
            <w:pPr>
              <w:spacing w:after="20" w:before="20"/>
              <w:jc w:val="left"/>
            </w:pPr>
            <w:r/>
            <w:r>
              <w:rPr>
                <w:rFonts w:ascii="Calibri" w:hAnsi="Calibri"/>
                <w:b w:val="0"/>
                <w:color w:val="23232D"/>
                <w:sz w:val="18"/>
              </w:rPr>
              <w:t>Coût</w:t>
            </w:r>
          </w:p>
        </w:tc>
        <w:tc>
          <w:tcPr>
            <w:tcW w:type="dxa" w:w="2016"/>
            <w:shd w:val="clear" w:fill="F2F2F2"/>
          </w:tcPr>
          <w:p>
            <w:pPr>
              <w:spacing w:after="20" w:before="20"/>
              <w:jc w:val="left"/>
            </w:pPr>
            <w:r/>
            <w:r>
              <w:rPr>
                <w:rFonts w:ascii="Calibri" w:hAnsi="Calibri"/>
                <w:b w:val="0"/>
                <w:color w:val="23232D"/>
                <w:sz w:val="18"/>
              </w:rPr>
              <w:t>Gratuit</w:t>
            </w:r>
          </w:p>
        </w:tc>
        <w:tc>
          <w:tcPr>
            <w:tcW w:type="dxa" w:w="2016"/>
            <w:shd w:val="clear" w:fill="F2F2F2"/>
          </w:tcPr>
          <w:p>
            <w:pPr>
              <w:spacing w:after="20" w:before="20"/>
              <w:jc w:val="left"/>
            </w:pPr>
            <w:r/>
            <w:r>
              <w:rPr>
                <w:rFonts w:ascii="Calibri" w:hAnsi="Calibri"/>
                <w:b w:val="0"/>
                <w:color w:val="23232D"/>
                <w:sz w:val="18"/>
              </w:rPr>
              <w:t>Gratuit/payant</w:t>
            </w:r>
          </w:p>
        </w:tc>
        <w:tc>
          <w:tcPr>
            <w:tcW w:type="dxa" w:w="2016"/>
            <w:shd w:val="clear" w:fill="F2F2F2"/>
          </w:tcPr>
          <w:p>
            <w:pPr>
              <w:spacing w:after="20" w:before="20"/>
              <w:jc w:val="left"/>
            </w:pPr>
            <w:r/>
            <w:r>
              <w:rPr>
                <w:rFonts w:ascii="Calibri" w:hAnsi="Calibri"/>
                <w:b w:val="0"/>
                <w:color w:val="23232D"/>
                <w:sz w:val="18"/>
              </w:rPr>
              <w:t>Gratuit/payant</w:t>
            </w:r>
          </w:p>
        </w:tc>
      </w:tr>
      <w:tr>
        <w:tc>
          <w:tcPr>
            <w:tcW w:type="dxa" w:w="3456"/>
          </w:tcPr>
          <w:p>
            <w:pPr>
              <w:spacing w:after="20" w:before="20"/>
              <w:jc w:val="left"/>
            </w:pPr>
            <w:r/>
            <w:r>
              <w:rPr>
                <w:rFonts w:ascii="Calibri" w:hAnsi="Calibri"/>
                <w:b w:val="0"/>
                <w:color w:val="23232D"/>
                <w:sz w:val="18"/>
              </w:rPr>
              <w:t>Ressources serveur</w:t>
            </w:r>
          </w:p>
        </w:tc>
        <w:tc>
          <w:tcPr>
            <w:tcW w:type="dxa" w:w="2016"/>
          </w:tcPr>
          <w:p>
            <w:pPr>
              <w:spacing w:after="20" w:before="20"/>
              <w:jc w:val="left"/>
            </w:pPr>
            <w:r/>
            <w:r>
              <w:rPr>
                <w:rFonts w:ascii="Calibri" w:hAnsi="Calibri"/>
                <w:b w:val="0"/>
                <w:color w:val="23232D"/>
                <w:sz w:val="18"/>
              </w:rPr>
              <w:t>Faibles</w:t>
            </w:r>
          </w:p>
        </w:tc>
        <w:tc>
          <w:tcPr>
            <w:tcW w:type="dxa" w:w="2016"/>
          </w:tcPr>
          <w:p>
            <w:pPr>
              <w:spacing w:after="20" w:before="20"/>
              <w:jc w:val="left"/>
            </w:pPr>
            <w:r/>
            <w:r>
              <w:rPr>
                <w:rFonts w:ascii="Calibri" w:hAnsi="Calibri"/>
                <w:b w:val="0"/>
                <w:color w:val="23232D"/>
                <w:sz w:val="18"/>
              </w:rPr>
              <w:t>—</w:t>
            </w:r>
          </w:p>
        </w:tc>
        <w:tc>
          <w:tcPr>
            <w:tcW w:type="dxa" w:w="2016"/>
          </w:tcPr>
          <w:p>
            <w:pPr>
              <w:spacing w:after="20" w:before="20"/>
              <w:jc w:val="left"/>
            </w:pPr>
            <w:r/>
            <w:r>
              <w:rPr>
                <w:rFonts w:ascii="Calibri" w:hAnsi="Calibri"/>
                <w:b w:val="0"/>
                <w:color w:val="23232D"/>
                <w:sz w:val="18"/>
              </w:rPr>
              <w:t>Élevées</w:t>
            </w:r>
          </w:p>
        </w:tc>
      </w:tr>
    </w:tbl>
    <w:p>
      <w:pPr>
        <w:spacing w:after="40"/>
      </w:pPr>
    </w:p>
    <w:p>
      <w:pPr>
        <w:pStyle w:val="Heading2"/>
      </w:pPr>
      <w:r>
        <w:t>3.2 Stratégie de branches et conventions</w:t>
      </w:r>
    </w:p>
    <w:p>
      <w:pPr>
        <w:pStyle w:val="ListBullet"/>
        <w:spacing w:after="60"/>
      </w:pPr>
      <w:r>
        <w:rPr>
          <w:color w:val="23232D"/>
          <w:sz w:val="21"/>
        </w:rPr>
        <w:t>main : code en production, toujours déployable et protégé (merge via pull request + CI verte) ;</w:t>
      </w:r>
    </w:p>
    <w:p>
      <w:pPr>
        <w:pStyle w:val="ListBullet"/>
        <w:spacing w:after="60"/>
      </w:pPr>
      <w:r>
        <w:rPr>
          <w:color w:val="23232D"/>
          <w:sz w:val="21"/>
        </w:rPr>
        <w:t>develop : intégration des développements en cours ;</w:t>
      </w:r>
    </w:p>
    <w:p>
      <w:pPr>
        <w:pStyle w:val="ListBullet"/>
        <w:spacing w:after="60"/>
      </w:pPr>
      <w:r>
        <w:rPr>
          <w:color w:val="23232D"/>
          <w:sz w:val="21"/>
        </w:rPr>
        <w:t>feature/*, fix/*, hotfix/* : une branche par fonctionnalité ou correctif, fusionnée par PR.</w:t>
      </w:r>
    </w:p>
    <w:p>
      <w:pPr>
        <w:spacing w:after="120"/>
        <w:jc w:val="both"/>
      </w:pPr>
      <w:r>
        <w:rPr>
          <w:b w:val="0"/>
          <w:i w:val="0"/>
          <w:color w:val="23232D"/>
          <w:sz w:val="21"/>
        </w:rPr>
        <w:t>Les messages de commit suivent la convention Conventional Commits déjà appliquée sur le projet (feat, fix, docs, chore, refactor…) avec un scope (back, web, mobile, deploy), ce qui rend l'historique lisible et permet de générer automatiquement les notes de version. Les versions livrées sont marquées par des tags (v1.0, v1.1…) reliés aux jalons Gitea.</w:t>
      </w:r>
    </w:p>
    <w:p>
      <w:pPr>
        <w:pStyle w:val="Heading1"/>
      </w:pPr>
      <w:r>
        <w:t>4. Plan de maintenance</w:t>
      </w:r>
    </w:p>
    <w:p>
      <w:pPr>
        <w:pStyle w:val="Heading2"/>
      </w:pPr>
      <w:r>
        <w:t>4.1 Outil de gestion des corrections et évolutions</w:t>
      </w:r>
    </w:p>
    <w:p>
      <w:pPr>
        <w:spacing w:after="120"/>
        <w:jc w:val="both"/>
      </w:pPr>
      <w:r>
        <w:rPr>
          <w:b w:val="0"/>
          <w:i w:val="0"/>
          <w:color w:val="23232D"/>
          <w:sz w:val="21"/>
        </w:rPr>
        <w:t>Le suivi des demandes s'appuie sur le module Issues de Gitea, complété par un tableau de bord Kanban (Projects) et des jalons (Milestones). Deux gabarits d'issues versionnés dans le dépôt structurent la saisie et posent automatiquement les bons libellés :</w:t>
      </w:r>
    </w:p>
    <w:p>
      <w:pPr>
        <w:pStyle w:val="ListBullet"/>
        <w:spacing w:after="60"/>
      </w:pPr>
      <w:r>
        <w:rPr>
          <w:b/>
          <w:color w:val="23232D"/>
          <w:sz w:val="21"/>
        </w:rPr>
        <w:t xml:space="preserve">🐞 </w:t>
      </w:r>
      <w:r>
        <w:rPr>
          <w:color w:val="23232D"/>
          <w:sz w:val="21"/>
        </w:rPr>
        <w:t>gabarit incident (maintenance corrective) : sévérité, module, environnement, étapes de reproduction, résultat attendu/obtenu ;</w:t>
      </w:r>
    </w:p>
    <w:p>
      <w:pPr>
        <w:pStyle w:val="ListBullet"/>
        <w:spacing w:after="60"/>
      </w:pPr>
      <w:r>
        <w:rPr>
          <w:b/>
          <w:color w:val="23232D"/>
          <w:sz w:val="21"/>
        </w:rPr>
        <w:t xml:space="preserve">✨ </w:t>
      </w:r>
      <w:r>
        <w:rPr>
          <w:color w:val="23232D"/>
          <w:sz w:val="21"/>
        </w:rPr>
        <w:t>gabarit demande d'évolution (maintenance évolutive) : besoin, solution proposée, priorité, critères d'acceptation.</w:t>
      </w:r>
    </w:p>
    <w:p>
      <w:pPr>
        <w:spacing w:after="120"/>
        <w:jc w:val="both"/>
      </w:pPr>
      <w:r>
        <w:rPr>
          <w:b w:val="0"/>
          <w:i w:val="0"/>
          <w:color w:val="23232D"/>
          <w:sz w:val="21"/>
        </w:rPr>
        <w:t>Les libellés couvrent le type, la gravité, la priorité, le statut et le module ; les jalons correspondent aux versions. Le tableau Kanban (À qualifier → À faire → En cours → En revue → Résolu) offre une vision temps réel de l'avancement, partagée entre le prestataire et le client.</w:t>
      </w:r>
    </w:p>
    <w:p>
      <w:pPr>
        <w:pStyle w:val="Heading2"/>
      </w:pPr>
      <w:r>
        <w:t>4.2 Maintenance corrective : méthodologie et engagements de service</w:t>
      </w:r>
    </w:p>
    <w:p>
      <w:pPr>
        <w:spacing w:after="120"/>
        <w:jc w:val="both"/>
      </w:pPr>
      <w:r>
        <w:rPr>
          <w:b w:val="0"/>
          <w:i w:val="0"/>
          <w:color w:val="23232D"/>
          <w:sz w:val="21"/>
        </w:rPr>
        <w:t>La maintenance corrective démarre dès la prise en compte d'un ticket d'incident. La sévérité conditionne les délais contractuels de prise en compte et de correction, distinguant incident bloquant, majeur et mineur.</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fill="004682"/>
          </w:tcPr>
          <w:p>
            <w:pPr>
              <w:spacing w:after="20" w:before="20"/>
              <w:jc w:val="center"/>
            </w:pPr>
            <w:r/>
            <w:r>
              <w:rPr>
                <w:rFonts w:ascii="Calibri" w:hAnsi="Calibri"/>
                <w:b/>
                <w:color w:val="FFFFFF"/>
                <w:sz w:val="18"/>
              </w:rPr>
              <w:t>Sévérité</w:t>
            </w:r>
          </w:p>
        </w:tc>
        <w:tc>
          <w:tcPr>
            <w:tcW w:type="dxa" w:w="3600"/>
            <w:shd w:val="clear" w:fill="004682"/>
          </w:tcPr>
          <w:p>
            <w:pPr>
              <w:spacing w:after="20" w:before="20"/>
              <w:jc w:val="center"/>
            </w:pPr>
            <w:r/>
            <w:r>
              <w:rPr>
                <w:rFonts w:ascii="Calibri" w:hAnsi="Calibri"/>
                <w:b/>
                <w:color w:val="FFFFFF"/>
                <w:sz w:val="18"/>
              </w:rPr>
              <w:t>Définition</w:t>
            </w:r>
          </w:p>
        </w:tc>
        <w:tc>
          <w:tcPr>
            <w:tcW w:type="dxa" w:w="1728"/>
            <w:shd w:val="clear" w:fill="004682"/>
          </w:tcPr>
          <w:p>
            <w:pPr>
              <w:spacing w:after="20" w:before="20"/>
              <w:jc w:val="center"/>
            </w:pPr>
            <w:r/>
            <w:r>
              <w:rPr>
                <w:rFonts w:ascii="Calibri" w:hAnsi="Calibri"/>
                <w:b/>
                <w:color w:val="FFFFFF"/>
                <w:sz w:val="18"/>
              </w:rPr>
              <w:t>Prise en compte</w:t>
            </w:r>
          </w:p>
        </w:tc>
        <w:tc>
          <w:tcPr>
            <w:tcW w:type="dxa" w:w="1728"/>
            <w:shd w:val="clear" w:fill="004682"/>
          </w:tcPr>
          <w:p>
            <w:pPr>
              <w:spacing w:after="20" w:before="20"/>
              <w:jc w:val="center"/>
            </w:pPr>
            <w:r/>
            <w:r>
              <w:rPr>
                <w:rFonts w:ascii="Calibri" w:hAnsi="Calibri"/>
                <w:b/>
                <w:color w:val="FFFFFF"/>
                <w:sz w:val="18"/>
              </w:rPr>
              <w:t>Correction</w:t>
            </w:r>
          </w:p>
        </w:tc>
      </w:tr>
      <w:tr>
        <w:tc>
          <w:tcPr>
            <w:tcW w:type="dxa" w:w="2160"/>
          </w:tcPr>
          <w:p>
            <w:pPr>
              <w:spacing w:after="20" w:before="20"/>
              <w:jc w:val="left"/>
            </w:pPr>
            <w:r/>
            <w:r>
              <w:rPr>
                <w:rFonts w:ascii="Calibri" w:hAnsi="Calibri"/>
                <w:b w:val="0"/>
                <w:color w:val="23232D"/>
                <w:sz w:val="18"/>
              </w:rPr>
              <w:t>Bloquant — critique</w:t>
            </w:r>
          </w:p>
        </w:tc>
        <w:tc>
          <w:tcPr>
            <w:tcW w:type="dxa" w:w="3600"/>
          </w:tcPr>
          <w:p>
            <w:pPr>
              <w:spacing w:after="20" w:before="20"/>
              <w:jc w:val="left"/>
            </w:pPr>
            <w:r/>
            <w:r>
              <w:rPr>
                <w:rFonts w:ascii="Calibri" w:hAnsi="Calibri"/>
                <w:b w:val="0"/>
                <w:color w:val="23232D"/>
                <w:sz w:val="18"/>
              </w:rPr>
              <w:t>Service inutilisable, aucun contournement</w:t>
            </w:r>
          </w:p>
        </w:tc>
        <w:tc>
          <w:tcPr>
            <w:tcW w:type="dxa" w:w="1728"/>
          </w:tcPr>
          <w:p>
            <w:pPr>
              <w:spacing w:after="20" w:before="20"/>
              <w:jc w:val="left"/>
            </w:pPr>
            <w:r/>
            <w:r>
              <w:rPr>
                <w:rFonts w:ascii="Calibri" w:hAnsi="Calibri"/>
                <w:b w:val="0"/>
                <w:color w:val="23232D"/>
                <w:sz w:val="18"/>
              </w:rPr>
              <w:t>1 h ouvrée</w:t>
            </w:r>
          </w:p>
        </w:tc>
        <w:tc>
          <w:tcPr>
            <w:tcW w:type="dxa" w:w="1728"/>
          </w:tcPr>
          <w:p>
            <w:pPr>
              <w:spacing w:after="20" w:before="20"/>
              <w:jc w:val="left"/>
            </w:pPr>
            <w:r/>
            <w:r>
              <w:rPr>
                <w:rFonts w:ascii="Calibri" w:hAnsi="Calibri"/>
                <w:b w:val="0"/>
                <w:color w:val="23232D"/>
                <w:sz w:val="18"/>
              </w:rPr>
              <w:t>3 h ouvrées</w:t>
            </w:r>
          </w:p>
        </w:tc>
      </w:tr>
      <w:tr>
        <w:tc>
          <w:tcPr>
            <w:tcW w:type="dxa" w:w="2160"/>
            <w:shd w:val="clear" w:fill="F2F2F2"/>
          </w:tcPr>
          <w:p>
            <w:pPr>
              <w:spacing w:after="20" w:before="20"/>
              <w:jc w:val="left"/>
            </w:pPr>
            <w:r/>
            <w:r>
              <w:rPr>
                <w:rFonts w:ascii="Calibri" w:hAnsi="Calibri"/>
                <w:b w:val="0"/>
                <w:color w:val="23232D"/>
                <w:sz w:val="18"/>
              </w:rPr>
              <w:t>Bloquant — fort</w:t>
            </w:r>
          </w:p>
        </w:tc>
        <w:tc>
          <w:tcPr>
            <w:tcW w:type="dxa" w:w="3600"/>
            <w:shd w:val="clear" w:fill="F2F2F2"/>
          </w:tcPr>
          <w:p>
            <w:pPr>
              <w:spacing w:after="20" w:before="20"/>
              <w:jc w:val="left"/>
            </w:pPr>
            <w:r/>
            <w:r>
              <w:rPr>
                <w:rFonts w:ascii="Calibri" w:hAnsi="Calibri"/>
                <w:b w:val="0"/>
                <w:color w:val="23232D"/>
                <w:sz w:val="18"/>
              </w:rPr>
              <w:t>Service inutilisable, contournement partiel</w:t>
            </w:r>
          </w:p>
        </w:tc>
        <w:tc>
          <w:tcPr>
            <w:tcW w:type="dxa" w:w="1728"/>
            <w:shd w:val="clear" w:fill="F2F2F2"/>
          </w:tcPr>
          <w:p>
            <w:pPr>
              <w:spacing w:after="20" w:before="20"/>
              <w:jc w:val="left"/>
            </w:pPr>
            <w:r/>
            <w:r>
              <w:rPr>
                <w:rFonts w:ascii="Calibri" w:hAnsi="Calibri"/>
                <w:b w:val="0"/>
                <w:color w:val="23232D"/>
                <w:sz w:val="18"/>
              </w:rPr>
              <w:t>2 h ouvrées</w:t>
            </w:r>
          </w:p>
        </w:tc>
        <w:tc>
          <w:tcPr>
            <w:tcW w:type="dxa" w:w="1728"/>
            <w:shd w:val="clear" w:fill="F2F2F2"/>
          </w:tcPr>
          <w:p>
            <w:pPr>
              <w:spacing w:after="20" w:before="20"/>
              <w:jc w:val="left"/>
            </w:pPr>
            <w:r/>
            <w:r>
              <w:rPr>
                <w:rFonts w:ascii="Calibri" w:hAnsi="Calibri"/>
                <w:b w:val="0"/>
                <w:color w:val="23232D"/>
                <w:sz w:val="18"/>
              </w:rPr>
              <w:t>6 h ouvrées</w:t>
            </w:r>
          </w:p>
        </w:tc>
      </w:tr>
      <w:tr>
        <w:tc>
          <w:tcPr>
            <w:tcW w:type="dxa" w:w="2160"/>
          </w:tcPr>
          <w:p>
            <w:pPr>
              <w:spacing w:after="20" w:before="20"/>
              <w:jc w:val="left"/>
            </w:pPr>
            <w:r/>
            <w:r>
              <w:rPr>
                <w:rFonts w:ascii="Calibri" w:hAnsi="Calibri"/>
                <w:b w:val="0"/>
                <w:color w:val="23232D"/>
                <w:sz w:val="18"/>
              </w:rPr>
              <w:t>Majeur</w:t>
            </w:r>
          </w:p>
        </w:tc>
        <w:tc>
          <w:tcPr>
            <w:tcW w:type="dxa" w:w="3600"/>
          </w:tcPr>
          <w:p>
            <w:pPr>
              <w:spacing w:after="20" w:before="20"/>
              <w:jc w:val="left"/>
            </w:pPr>
            <w:r/>
            <w:r>
              <w:rPr>
                <w:rFonts w:ascii="Calibri" w:hAnsi="Calibri"/>
                <w:b w:val="0"/>
                <w:color w:val="23232D"/>
                <w:sz w:val="18"/>
              </w:rPr>
              <w:t>Service dégradé / intermittent avec contournement</w:t>
            </w:r>
          </w:p>
        </w:tc>
        <w:tc>
          <w:tcPr>
            <w:tcW w:type="dxa" w:w="1728"/>
          </w:tcPr>
          <w:p>
            <w:pPr>
              <w:spacing w:after="20" w:before="20"/>
              <w:jc w:val="left"/>
            </w:pPr>
            <w:r/>
            <w:r>
              <w:rPr>
                <w:rFonts w:ascii="Calibri" w:hAnsi="Calibri"/>
                <w:b w:val="0"/>
                <w:color w:val="23232D"/>
                <w:sz w:val="18"/>
              </w:rPr>
              <w:t>7 h ouvrées</w:t>
            </w:r>
          </w:p>
        </w:tc>
        <w:tc>
          <w:tcPr>
            <w:tcW w:type="dxa" w:w="1728"/>
          </w:tcPr>
          <w:p>
            <w:pPr>
              <w:spacing w:after="20" w:before="20"/>
              <w:jc w:val="left"/>
            </w:pPr>
            <w:r/>
            <w:r>
              <w:rPr>
                <w:rFonts w:ascii="Calibri" w:hAnsi="Calibri"/>
                <w:b w:val="0"/>
                <w:color w:val="23232D"/>
                <w:sz w:val="18"/>
              </w:rPr>
              <w:t>16 h ouvrées</w:t>
            </w:r>
          </w:p>
        </w:tc>
      </w:tr>
      <w:tr>
        <w:tc>
          <w:tcPr>
            <w:tcW w:type="dxa" w:w="2160"/>
            <w:shd w:val="clear" w:fill="F2F2F2"/>
          </w:tcPr>
          <w:p>
            <w:pPr>
              <w:spacing w:after="20" w:before="20"/>
              <w:jc w:val="left"/>
            </w:pPr>
            <w:r/>
            <w:r>
              <w:rPr>
                <w:rFonts w:ascii="Calibri" w:hAnsi="Calibri"/>
                <w:b w:val="0"/>
                <w:color w:val="23232D"/>
                <w:sz w:val="18"/>
              </w:rPr>
              <w:t>Mineur (par lots)</w:t>
            </w:r>
          </w:p>
        </w:tc>
        <w:tc>
          <w:tcPr>
            <w:tcW w:type="dxa" w:w="3600"/>
            <w:shd w:val="clear" w:fill="F2F2F2"/>
          </w:tcPr>
          <w:p>
            <w:pPr>
              <w:spacing w:after="20" w:before="20"/>
              <w:jc w:val="left"/>
            </w:pPr>
            <w:r/>
            <w:r>
              <w:rPr>
                <w:rFonts w:ascii="Calibri" w:hAnsi="Calibri"/>
                <w:b w:val="0"/>
                <w:color w:val="23232D"/>
                <w:sz w:val="18"/>
              </w:rPr>
              <w:t>Altération mineure, service opérationnel</w:t>
            </w:r>
          </w:p>
        </w:tc>
        <w:tc>
          <w:tcPr>
            <w:tcW w:type="dxa" w:w="1728"/>
            <w:shd w:val="clear" w:fill="F2F2F2"/>
          </w:tcPr>
          <w:p>
            <w:pPr>
              <w:spacing w:after="20" w:before="20"/>
              <w:jc w:val="left"/>
            </w:pPr>
            <w:r/>
            <w:r>
              <w:rPr>
                <w:rFonts w:ascii="Calibri" w:hAnsi="Calibri"/>
                <w:b w:val="0"/>
                <w:color w:val="23232D"/>
                <w:sz w:val="18"/>
              </w:rPr>
              <w:t>1 j ouvré</w:t>
            </w:r>
          </w:p>
        </w:tc>
        <w:tc>
          <w:tcPr>
            <w:tcW w:type="dxa" w:w="1728"/>
            <w:shd w:val="clear" w:fill="F2F2F2"/>
          </w:tcPr>
          <w:p>
            <w:pPr>
              <w:spacing w:after="20" w:before="20"/>
              <w:jc w:val="left"/>
            </w:pPr>
            <w:r/>
            <w:r>
              <w:rPr>
                <w:rFonts w:ascii="Calibri" w:hAnsi="Calibri"/>
                <w:b w:val="0"/>
                <w:color w:val="23232D"/>
                <w:sz w:val="18"/>
              </w:rPr>
              <w:t>40 h ouvrées</w:t>
            </w:r>
          </w:p>
        </w:tc>
      </w:tr>
    </w:tbl>
    <w:p>
      <w:pPr>
        <w:spacing w:after="40"/>
      </w:pPr>
    </w:p>
    <w:p>
      <w:pPr>
        <w:spacing w:after="120"/>
        <w:jc w:val="both"/>
      </w:pPr>
      <w:r>
        <w:rPr>
          <w:b w:val="0"/>
          <w:i w:val="0"/>
          <w:color w:val="23232D"/>
          <w:sz w:val="21"/>
        </w:rPr>
        <w:t>Le traitement suit un cycle standardisé et traçable, du signalement à la clôture validée par le client, en passant par la correction sur une branche dédiée et la revue par pull request (fusion conditionnée à une CI verte).</w:t>
      </w:r>
    </w:p>
    <w:p>
      <w:pPr>
        <w:jc w:val="center"/>
      </w:pPr>
      <w:r>
        <w:drawing>
          <wp:inline xmlns:a="http://schemas.openxmlformats.org/drawingml/2006/main" xmlns:pic="http://schemas.openxmlformats.org/drawingml/2006/picture">
            <wp:extent cx="5852160" cy="2506415"/>
            <wp:docPr id="2" name="Picture 2"/>
            <wp:cNvGraphicFramePr>
              <a:graphicFrameLocks noChangeAspect="1"/>
            </wp:cNvGraphicFramePr>
            <a:graphic>
              <a:graphicData uri="http://schemas.openxmlformats.org/drawingml/2006/picture">
                <pic:pic>
                  <pic:nvPicPr>
                    <pic:cNvPr id="0" name="cycle_ticket.png"/>
                    <pic:cNvPicPr/>
                  </pic:nvPicPr>
                  <pic:blipFill>
                    <a:blip r:embed="rId10"/>
                    <a:stretch>
                      <a:fillRect/>
                    </a:stretch>
                  </pic:blipFill>
                  <pic:spPr>
                    <a:xfrm>
                      <a:off x="0" y="0"/>
                      <a:ext cx="5852160" cy="2506415"/>
                    </a:xfrm>
                    <a:prstGeom prst="rect"/>
                  </pic:spPr>
                </pic:pic>
              </a:graphicData>
            </a:graphic>
          </wp:inline>
        </w:drawing>
      </w:r>
    </w:p>
    <w:p>
      <w:pPr>
        <w:spacing w:after="160"/>
        <w:jc w:val="center"/>
      </w:pPr>
      <w:r>
        <w:rPr>
          <w:i/>
          <w:color w:val="6E6E6E"/>
          <w:sz w:val="18"/>
        </w:rPr>
        <w:t>Figure — Cycle de vie d'un ticket sur Gitea et rappel des engagements de service (SLA).</w:t>
      </w:r>
    </w:p>
    <w:p>
      <w:pPr>
        <w:pStyle w:val="Heading2"/>
      </w:pPr>
      <w:r>
        <w:t>4.3 Maintenance évolutive</w:t>
      </w:r>
    </w:p>
    <w:p>
      <w:pPr>
        <w:spacing w:after="120"/>
        <w:jc w:val="both"/>
      </w:pPr>
      <w:r>
        <w:rPr>
          <w:b w:val="0"/>
          <w:i w:val="0"/>
          <w:color w:val="23232D"/>
          <w:sz w:val="21"/>
        </w:rPr>
        <w:t>Chaque demande d'évolution fait l'objet d'un ticket puis d'une analyse par le prestataire proposant : la documentation fonctionnelle et technique, le délai de mise en œuvre et le coût associé. Après validation du client, l'évolution est planifiée dans un jalon de version. L'architecture découplée et le référentiel de données extensible permettent d'activer les modules écartés (Diagnostic de stress, Cohérence cardiaque, Activités de détente) sans réécrire le modèle existant.</w:t>
      </w:r>
    </w:p>
    <w:p>
      <w:pPr>
        <w:pStyle w:val="Heading2"/>
      </w:pPr>
      <w:r>
        <w:t>4.4 Pilotage</w:t>
      </w:r>
    </w:p>
    <w:p>
      <w:pPr>
        <w:spacing w:after="120"/>
        <w:jc w:val="both"/>
      </w:pPr>
      <w:r>
        <w:rPr>
          <w:b w:val="0"/>
          <w:i w:val="0"/>
          <w:color w:val="23232D"/>
          <w:sz w:val="21"/>
        </w:rPr>
        <w:t>Le pilotage de la maintenance s'appuie sur les tableaux de bord natifs de Gitea : filtres par libellé/jalon/assigné, vue Kanban et suivi d'avancement par version. Ces indicateurs (nombre de tickets ouverts/fermés, respect des délais, répartition par module) permettent au Ministère de suivre la qualité de service.</w:t>
      </w:r>
    </w:p>
    <w:p>
      <w:pPr>
        <w:pStyle w:val="Heading2"/>
      </w:pPr>
      <w:r>
        <w:t>4.5 Veille technologique et pérennité</w:t>
      </w:r>
    </w:p>
    <w:p>
      <w:pPr>
        <w:spacing w:after="120"/>
        <w:jc w:val="both"/>
      </w:pPr>
      <w:r>
        <w:rPr>
          <w:b w:val="0"/>
          <w:i w:val="0"/>
          <w:color w:val="23232D"/>
          <w:sz w:val="21"/>
        </w:rPr>
        <w:t>La pérennité de l'application dépend du suivi des évolutions de son écosystème. Une méthodologie de veille structurée est mise en place :</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736"/>
            <w:shd w:val="clear" w:fill="004682"/>
          </w:tcPr>
          <w:p>
            <w:pPr>
              <w:spacing w:after="20" w:before="20"/>
              <w:jc w:val="center"/>
            </w:pPr>
            <w:r/>
            <w:r>
              <w:rPr>
                <w:rFonts w:ascii="Calibri" w:hAnsi="Calibri"/>
                <w:b/>
                <w:color w:val="FFFFFF"/>
                <w:sz w:val="17"/>
              </w:rPr>
              <w:t>Axe de veille</w:t>
            </w:r>
          </w:p>
        </w:tc>
        <w:tc>
          <w:tcPr>
            <w:tcW w:type="dxa" w:w="3312"/>
            <w:shd w:val="clear" w:fill="004682"/>
          </w:tcPr>
          <w:p>
            <w:pPr>
              <w:spacing w:after="20" w:before="20"/>
              <w:jc w:val="center"/>
            </w:pPr>
            <w:r/>
            <w:r>
              <w:rPr>
                <w:rFonts w:ascii="Calibri" w:hAnsi="Calibri"/>
                <w:b/>
                <w:color w:val="FFFFFF"/>
                <w:sz w:val="17"/>
              </w:rPr>
              <w:t>Sources</w:t>
            </w:r>
          </w:p>
        </w:tc>
        <w:tc>
          <w:tcPr>
            <w:tcW w:type="dxa" w:w="1584"/>
            <w:shd w:val="clear" w:fill="004682"/>
          </w:tcPr>
          <w:p>
            <w:pPr>
              <w:spacing w:after="20" w:before="20"/>
              <w:jc w:val="center"/>
            </w:pPr>
            <w:r/>
            <w:r>
              <w:rPr>
                <w:rFonts w:ascii="Calibri" w:hAnsi="Calibri"/>
                <w:b/>
                <w:color w:val="FFFFFF"/>
                <w:sz w:val="17"/>
              </w:rPr>
              <w:t>Rythme</w:t>
            </w:r>
          </w:p>
        </w:tc>
        <w:tc>
          <w:tcPr>
            <w:tcW w:type="dxa" w:w="2736"/>
            <w:shd w:val="clear" w:fill="004682"/>
          </w:tcPr>
          <w:p>
            <w:pPr>
              <w:spacing w:after="20" w:before="20"/>
              <w:jc w:val="center"/>
            </w:pPr>
            <w:r/>
            <w:r>
              <w:rPr>
                <w:rFonts w:ascii="Calibri" w:hAnsi="Calibri"/>
                <w:b/>
                <w:color w:val="FFFFFF"/>
                <w:sz w:val="17"/>
              </w:rPr>
              <w:t>Action</w:t>
            </w:r>
          </w:p>
        </w:tc>
      </w:tr>
      <w:tr>
        <w:tc>
          <w:tcPr>
            <w:tcW w:type="dxa" w:w="2736"/>
          </w:tcPr>
          <w:p>
            <w:pPr>
              <w:spacing w:after="20" w:before="20"/>
              <w:jc w:val="left"/>
            </w:pPr>
            <w:r/>
            <w:r>
              <w:rPr>
                <w:rFonts w:ascii="Calibri" w:hAnsi="Calibri"/>
                <w:b w:val="0"/>
                <w:color w:val="23232D"/>
                <w:sz w:val="17"/>
              </w:rPr>
              <w:t>Sécurité / vulnérabilités</w:t>
            </w:r>
          </w:p>
        </w:tc>
        <w:tc>
          <w:tcPr>
            <w:tcW w:type="dxa" w:w="3312"/>
          </w:tcPr>
          <w:p>
            <w:pPr>
              <w:spacing w:after="20" w:before="20"/>
              <w:jc w:val="left"/>
            </w:pPr>
            <w:r/>
            <w:r>
              <w:rPr>
                <w:rFonts w:ascii="Calibri" w:hAnsi="Calibri"/>
                <w:b w:val="0"/>
                <w:color w:val="23232D"/>
                <w:sz w:val="17"/>
              </w:rPr>
              <w:t>CVE, bulletins CERT-FR, GitHub Advisories, OWASP</w:t>
            </w:r>
          </w:p>
        </w:tc>
        <w:tc>
          <w:tcPr>
            <w:tcW w:type="dxa" w:w="1584"/>
          </w:tcPr>
          <w:p>
            <w:pPr>
              <w:spacing w:after="20" w:before="20"/>
              <w:jc w:val="left"/>
            </w:pPr>
            <w:r/>
            <w:r>
              <w:rPr>
                <w:rFonts w:ascii="Calibri" w:hAnsi="Calibri"/>
                <w:b w:val="0"/>
                <w:color w:val="23232D"/>
                <w:sz w:val="17"/>
              </w:rPr>
              <w:t>Continu (automatisé)</w:t>
            </w:r>
          </w:p>
        </w:tc>
        <w:tc>
          <w:tcPr>
            <w:tcW w:type="dxa" w:w="2736"/>
          </w:tcPr>
          <w:p>
            <w:pPr>
              <w:spacing w:after="20" w:before="20"/>
              <w:jc w:val="left"/>
            </w:pPr>
            <w:r/>
            <w:r>
              <w:rPr>
                <w:rFonts w:ascii="Calibri" w:hAnsi="Calibri"/>
                <w:b w:val="0"/>
                <w:color w:val="23232D"/>
                <w:sz w:val="17"/>
              </w:rPr>
              <w:t>Alertes de dépendances + correctifs prioritaires</w:t>
            </w:r>
          </w:p>
        </w:tc>
      </w:tr>
      <w:tr>
        <w:tc>
          <w:tcPr>
            <w:tcW w:type="dxa" w:w="2736"/>
            <w:shd w:val="clear" w:fill="F2F2F2"/>
          </w:tcPr>
          <w:p>
            <w:pPr>
              <w:spacing w:after="20" w:before="20"/>
              <w:jc w:val="left"/>
            </w:pPr>
            <w:r/>
            <w:r>
              <w:rPr>
                <w:rFonts w:ascii="Calibri" w:hAnsi="Calibri"/>
                <w:b w:val="0"/>
                <w:color w:val="23232D"/>
                <w:sz w:val="17"/>
              </w:rPr>
              <w:t>Frameworks (Laravel, Next.js, Expo)</w:t>
            </w:r>
          </w:p>
        </w:tc>
        <w:tc>
          <w:tcPr>
            <w:tcW w:type="dxa" w:w="3312"/>
            <w:shd w:val="clear" w:fill="F2F2F2"/>
          </w:tcPr>
          <w:p>
            <w:pPr>
              <w:spacing w:after="20" w:before="20"/>
              <w:jc w:val="left"/>
            </w:pPr>
            <w:r/>
            <w:r>
              <w:rPr>
                <w:rFonts w:ascii="Calibri" w:hAnsi="Calibri"/>
                <w:b w:val="0"/>
                <w:color w:val="23232D"/>
                <w:sz w:val="17"/>
              </w:rPr>
              <w:t>Blogs officiels, notes de version, roadmaps</w:t>
            </w:r>
          </w:p>
        </w:tc>
        <w:tc>
          <w:tcPr>
            <w:tcW w:type="dxa" w:w="1584"/>
            <w:shd w:val="clear" w:fill="F2F2F2"/>
          </w:tcPr>
          <w:p>
            <w:pPr>
              <w:spacing w:after="20" w:before="20"/>
              <w:jc w:val="left"/>
            </w:pPr>
            <w:r/>
            <w:r>
              <w:rPr>
                <w:rFonts w:ascii="Calibri" w:hAnsi="Calibri"/>
                <w:b w:val="0"/>
                <w:color w:val="23232D"/>
                <w:sz w:val="17"/>
              </w:rPr>
              <w:t>Mensuel</w:t>
            </w:r>
          </w:p>
        </w:tc>
        <w:tc>
          <w:tcPr>
            <w:tcW w:type="dxa" w:w="2736"/>
            <w:shd w:val="clear" w:fill="F2F2F2"/>
          </w:tcPr>
          <w:p>
            <w:pPr>
              <w:spacing w:after="20" w:before="20"/>
              <w:jc w:val="left"/>
            </w:pPr>
            <w:r/>
            <w:r>
              <w:rPr>
                <w:rFonts w:ascii="Calibri" w:hAnsi="Calibri"/>
                <w:b w:val="0"/>
                <w:color w:val="23232D"/>
                <w:sz w:val="17"/>
              </w:rPr>
              <w:t>Planifier les montées de version LTS</w:t>
            </w:r>
          </w:p>
        </w:tc>
      </w:tr>
      <w:tr>
        <w:tc>
          <w:tcPr>
            <w:tcW w:type="dxa" w:w="2736"/>
          </w:tcPr>
          <w:p>
            <w:pPr>
              <w:spacing w:after="20" w:before="20"/>
              <w:jc w:val="left"/>
            </w:pPr>
            <w:r/>
            <w:r>
              <w:rPr>
                <w:rFonts w:ascii="Calibri" w:hAnsi="Calibri"/>
                <w:b w:val="0"/>
                <w:color w:val="23232D"/>
                <w:sz w:val="17"/>
              </w:rPr>
              <w:t>Dépendances</w:t>
            </w:r>
          </w:p>
        </w:tc>
        <w:tc>
          <w:tcPr>
            <w:tcW w:type="dxa" w:w="3312"/>
          </w:tcPr>
          <w:p>
            <w:pPr>
              <w:spacing w:after="20" w:before="20"/>
              <w:jc w:val="left"/>
            </w:pPr>
            <w:r/>
            <w:r>
              <w:rPr>
                <w:rFonts w:ascii="Calibri" w:hAnsi="Calibri"/>
                <w:b w:val="0"/>
                <w:color w:val="23232D"/>
                <w:sz w:val="17"/>
              </w:rPr>
              <w:t>npm audit, composer audit, Renovate/Dependabot</w:t>
            </w:r>
          </w:p>
        </w:tc>
        <w:tc>
          <w:tcPr>
            <w:tcW w:type="dxa" w:w="1584"/>
          </w:tcPr>
          <w:p>
            <w:pPr>
              <w:spacing w:after="20" w:before="20"/>
              <w:jc w:val="left"/>
            </w:pPr>
            <w:r/>
            <w:r>
              <w:rPr>
                <w:rFonts w:ascii="Calibri" w:hAnsi="Calibri"/>
                <w:b w:val="0"/>
                <w:color w:val="23232D"/>
                <w:sz w:val="17"/>
              </w:rPr>
              <w:t>Hebdomadaire</w:t>
            </w:r>
          </w:p>
        </w:tc>
        <w:tc>
          <w:tcPr>
            <w:tcW w:type="dxa" w:w="2736"/>
          </w:tcPr>
          <w:p>
            <w:pPr>
              <w:spacing w:after="20" w:before="20"/>
              <w:jc w:val="left"/>
            </w:pPr>
            <w:r/>
            <w:r>
              <w:rPr>
                <w:rFonts w:ascii="Calibri" w:hAnsi="Calibri"/>
                <w:b w:val="0"/>
                <w:color w:val="23232D"/>
                <w:sz w:val="17"/>
              </w:rPr>
              <w:t>PR automatiques de mise à jour, testées par la CI</w:t>
            </w:r>
          </w:p>
        </w:tc>
      </w:tr>
      <w:tr>
        <w:tc>
          <w:tcPr>
            <w:tcW w:type="dxa" w:w="2736"/>
            <w:shd w:val="clear" w:fill="F2F2F2"/>
          </w:tcPr>
          <w:p>
            <w:pPr>
              <w:spacing w:after="20" w:before="20"/>
              <w:jc w:val="left"/>
            </w:pPr>
            <w:r/>
            <w:r>
              <w:rPr>
                <w:rFonts w:ascii="Calibri" w:hAnsi="Calibri"/>
                <w:b w:val="0"/>
                <w:color w:val="23232D"/>
                <w:sz w:val="17"/>
              </w:rPr>
              <w:t>Réglementation (RGPD, HDS)</w:t>
            </w:r>
          </w:p>
        </w:tc>
        <w:tc>
          <w:tcPr>
            <w:tcW w:type="dxa" w:w="3312"/>
            <w:shd w:val="clear" w:fill="F2F2F2"/>
          </w:tcPr>
          <w:p>
            <w:pPr>
              <w:spacing w:after="20" w:before="20"/>
              <w:jc w:val="left"/>
            </w:pPr>
            <w:r/>
            <w:r>
              <w:rPr>
                <w:rFonts w:ascii="Calibri" w:hAnsi="Calibri"/>
                <w:b w:val="0"/>
                <w:color w:val="23232D"/>
                <w:sz w:val="17"/>
              </w:rPr>
              <w:t>CNIL, ANSSI, Legifrance</w:t>
            </w:r>
          </w:p>
        </w:tc>
        <w:tc>
          <w:tcPr>
            <w:tcW w:type="dxa" w:w="1584"/>
            <w:shd w:val="clear" w:fill="F2F2F2"/>
          </w:tcPr>
          <w:p>
            <w:pPr>
              <w:spacing w:after="20" w:before="20"/>
              <w:jc w:val="left"/>
            </w:pPr>
            <w:r/>
            <w:r>
              <w:rPr>
                <w:rFonts w:ascii="Calibri" w:hAnsi="Calibri"/>
                <w:b w:val="0"/>
                <w:color w:val="23232D"/>
                <w:sz w:val="17"/>
              </w:rPr>
              <w:t>Trimestriel</w:t>
            </w:r>
          </w:p>
        </w:tc>
        <w:tc>
          <w:tcPr>
            <w:tcW w:type="dxa" w:w="2736"/>
            <w:shd w:val="clear" w:fill="F2F2F2"/>
          </w:tcPr>
          <w:p>
            <w:pPr>
              <w:spacing w:after="20" w:before="20"/>
              <w:jc w:val="left"/>
            </w:pPr>
            <w:r/>
            <w:r>
              <w:rPr>
                <w:rFonts w:ascii="Calibri" w:hAnsi="Calibri"/>
                <w:b w:val="0"/>
                <w:color w:val="23232D"/>
                <w:sz w:val="17"/>
              </w:rPr>
              <w:t>Adapter les mesures de conformité</w:t>
            </w:r>
          </w:p>
        </w:tc>
      </w:tr>
    </w:tbl>
    <w:p>
      <w:pPr>
        <w:spacing w:after="40"/>
      </w:pPr>
    </w:p>
    <w:p>
      <w:pPr>
        <w:spacing w:after="120"/>
        <w:jc w:val="both"/>
      </w:pPr>
      <w:r>
        <w:rPr>
          <w:b w:val="0"/>
          <w:i w:val="0"/>
          <w:color w:val="23232D"/>
          <w:sz w:val="21"/>
        </w:rPr>
        <w:t>La veille sécurité est en partie automatisée : les outils d'analyse de dépendances (composer audit, npm audit) sont intégrables à la CI et signalent immédiatement toute dépendance vulnérable, tandis qu'un robot de mise à jour propose des pull requests validées par les tests.</w:t>
      </w:r>
    </w:p>
    <w:p>
      <w:r>
        <w:br w:type="page"/>
      </w:r>
    </w:p>
    <w:p>
      <w:pPr>
        <w:pStyle w:val="Heading1"/>
      </w:pPr>
      <w:r>
        <w:t>5. Plan de sécurisation</w:t>
      </w:r>
    </w:p>
    <w:p>
      <w:pPr>
        <w:spacing w:after="120"/>
        <w:jc w:val="both"/>
      </w:pPr>
      <w:r>
        <w:rPr>
          <w:b w:val="0"/>
          <w:i w:val="0"/>
          <w:color w:val="23232D"/>
          <w:sz w:val="21"/>
        </w:rPr>
        <w:t>S'agissant d'une application portée par un ministère et manipulant des données de santé mentale (données sensibles au sens de l'article 9 du RGPD), la sécurité est traitée comme une exigence de premier ordre. Ce plan identifie les vulnérabilités et risques, en évalue la criticité, puis présente les mesures déjà en place et les actions correctives et préventives planifiées.</w:t>
      </w:r>
    </w:p>
    <w:p>
      <w:pPr>
        <w:pStyle w:val="Heading2"/>
      </w:pPr>
      <w:r>
        <w:t>5.1 Analyse des vulnérabilités</w:t>
      </w:r>
    </w:p>
    <w:p>
      <w:pPr>
        <w:spacing w:after="120"/>
        <w:jc w:val="both"/>
      </w:pPr>
      <w:r>
        <w:rPr>
          <w:b w:val="0"/>
          <w:i w:val="0"/>
          <w:color w:val="23232D"/>
          <w:sz w:val="21"/>
        </w:rPr>
        <w:t>L'analyse s'appuie sur le référentiel OWASP Top 10. Le tableau ci-dessous confronte chaque risque aux mesures réellement implémentées dans le prototype et aux axes de renforcement.</w:t>
      </w:r>
    </w:p>
    <w:tbl>
      <w:tblPr>
        <w:tblStyle w:val="TableGrid"/>
        <w:tblW w:type="auto" w:w="0"/>
        <w:jc w:val="center"/>
        <w:tblLook w:firstColumn="1" w:firstRow="1" w:lastColumn="0" w:lastRow="0" w:noHBand="0" w:noVBand="1" w:val="04A0"/>
      </w:tblPr>
      <w:tblGrid>
        <w:gridCol w:w="2880"/>
        <w:gridCol w:w="2880"/>
        <w:gridCol w:w="2880"/>
      </w:tblGrid>
      <w:tr>
        <w:tc>
          <w:tcPr>
            <w:tcW w:type="dxa" w:w="3024"/>
            <w:shd w:val="clear" w:fill="004682"/>
          </w:tcPr>
          <w:p>
            <w:pPr>
              <w:spacing w:after="20" w:before="20"/>
              <w:jc w:val="center"/>
            </w:pPr>
            <w:r/>
            <w:r>
              <w:rPr>
                <w:rFonts w:ascii="Calibri" w:hAnsi="Calibri"/>
                <w:b/>
                <w:color w:val="FFFFFF"/>
                <w:sz w:val="17"/>
              </w:rPr>
              <w:t>Vulnérabilité (OWASP)</w:t>
            </w:r>
          </w:p>
        </w:tc>
        <w:tc>
          <w:tcPr>
            <w:tcW w:type="dxa" w:w="3744"/>
            <w:shd w:val="clear" w:fill="004682"/>
          </w:tcPr>
          <w:p>
            <w:pPr>
              <w:spacing w:after="20" w:before="20"/>
              <w:jc w:val="center"/>
            </w:pPr>
            <w:r/>
            <w:r>
              <w:rPr>
                <w:rFonts w:ascii="Calibri" w:hAnsi="Calibri"/>
                <w:b/>
                <w:color w:val="FFFFFF"/>
                <w:sz w:val="17"/>
              </w:rPr>
              <w:t>Mesure en place</w:t>
            </w:r>
          </w:p>
        </w:tc>
        <w:tc>
          <w:tcPr>
            <w:tcW w:type="dxa" w:w="2448"/>
            <w:shd w:val="clear" w:fill="004682"/>
          </w:tcPr>
          <w:p>
            <w:pPr>
              <w:spacing w:after="20" w:before="20"/>
              <w:jc w:val="center"/>
            </w:pPr>
            <w:r/>
            <w:r>
              <w:rPr>
                <w:rFonts w:ascii="Calibri" w:hAnsi="Calibri"/>
                <w:b/>
                <w:color w:val="FFFFFF"/>
                <w:sz w:val="17"/>
              </w:rPr>
              <w:t>Renforcement prévu</w:t>
            </w:r>
          </w:p>
        </w:tc>
      </w:tr>
      <w:tr>
        <w:tc>
          <w:tcPr>
            <w:tcW w:type="dxa" w:w="3024"/>
          </w:tcPr>
          <w:p>
            <w:pPr>
              <w:spacing w:after="20" w:before="20"/>
              <w:jc w:val="left"/>
            </w:pPr>
            <w:r/>
            <w:r>
              <w:rPr>
                <w:rFonts w:ascii="Calibri" w:hAnsi="Calibri"/>
                <w:b w:val="0"/>
                <w:color w:val="23232D"/>
                <w:sz w:val="17"/>
              </w:rPr>
              <w:t>A01 Contrôle d'accès défaillant</w:t>
            </w:r>
          </w:p>
        </w:tc>
        <w:tc>
          <w:tcPr>
            <w:tcW w:type="dxa" w:w="3744"/>
          </w:tcPr>
          <w:p>
            <w:pPr>
              <w:spacing w:after="20" w:before="20"/>
              <w:jc w:val="left"/>
            </w:pPr>
            <w:r/>
            <w:r>
              <w:rPr>
                <w:rFonts w:ascii="Calibri" w:hAnsi="Calibri"/>
                <w:b w:val="0"/>
                <w:color w:val="23232D"/>
                <w:sz w:val="17"/>
              </w:rPr>
              <w:t>RBAC par middleware (role:administrateur), garde-fous (un admin ne peut se désactiver/supprimer)</w:t>
            </w:r>
          </w:p>
        </w:tc>
        <w:tc>
          <w:tcPr>
            <w:tcW w:type="dxa" w:w="2448"/>
          </w:tcPr>
          <w:p>
            <w:pPr>
              <w:spacing w:after="20" w:before="20"/>
              <w:jc w:val="left"/>
            </w:pPr>
            <w:r/>
            <w:r>
              <w:rPr>
                <w:rFonts w:ascii="Calibri" w:hAnsi="Calibri"/>
                <w:b w:val="0"/>
                <w:color w:val="23232D"/>
                <w:sz w:val="17"/>
              </w:rPr>
              <w:t>Revue périodique des droits</w:t>
            </w:r>
          </w:p>
        </w:tc>
      </w:tr>
      <w:tr>
        <w:tc>
          <w:tcPr>
            <w:tcW w:type="dxa" w:w="3024"/>
            <w:shd w:val="clear" w:fill="F2F2F2"/>
          </w:tcPr>
          <w:p>
            <w:pPr>
              <w:spacing w:after="20" w:before="20"/>
              <w:jc w:val="left"/>
            </w:pPr>
            <w:r/>
            <w:r>
              <w:rPr>
                <w:rFonts w:ascii="Calibri" w:hAnsi="Calibri"/>
                <w:b w:val="0"/>
                <w:color w:val="23232D"/>
                <w:sz w:val="17"/>
              </w:rPr>
              <w:t>A02 Défaillances cryptographiques</w:t>
            </w:r>
          </w:p>
        </w:tc>
        <w:tc>
          <w:tcPr>
            <w:tcW w:type="dxa" w:w="3744"/>
            <w:shd w:val="clear" w:fill="F2F2F2"/>
          </w:tcPr>
          <w:p>
            <w:pPr>
              <w:spacing w:after="20" w:before="20"/>
              <w:jc w:val="left"/>
            </w:pPr>
            <w:r/>
            <w:r>
              <w:rPr>
                <w:rFonts w:ascii="Calibri" w:hAnsi="Calibri"/>
                <w:b w:val="0"/>
                <w:color w:val="23232D"/>
                <w:sz w:val="17"/>
              </w:rPr>
              <w:t>HTTPS/TLS, bcrypt (coût 12), mots de passe masqués et exclus des logs</w:t>
            </w:r>
          </w:p>
        </w:tc>
        <w:tc>
          <w:tcPr>
            <w:tcW w:type="dxa" w:w="2448"/>
            <w:shd w:val="clear" w:fill="F2F2F2"/>
          </w:tcPr>
          <w:p>
            <w:pPr>
              <w:spacing w:after="20" w:before="20"/>
              <w:jc w:val="left"/>
            </w:pPr>
            <w:r/>
            <w:r>
              <w:rPr>
                <w:rFonts w:ascii="Calibri" w:hAnsi="Calibri"/>
                <w:b w:val="0"/>
                <w:color w:val="23232D"/>
                <w:sz w:val="17"/>
              </w:rPr>
              <w:t>Chiffrement applicatif au repos des notes de santé (cast chiffré)</w:t>
            </w:r>
          </w:p>
        </w:tc>
      </w:tr>
      <w:tr>
        <w:tc>
          <w:tcPr>
            <w:tcW w:type="dxa" w:w="3024"/>
          </w:tcPr>
          <w:p>
            <w:pPr>
              <w:spacing w:after="20" w:before="20"/>
              <w:jc w:val="left"/>
            </w:pPr>
            <w:r/>
            <w:r>
              <w:rPr>
                <w:rFonts w:ascii="Calibri" w:hAnsi="Calibri"/>
                <w:b w:val="0"/>
                <w:color w:val="23232D"/>
                <w:sz w:val="17"/>
              </w:rPr>
              <w:t>A03 Injection</w:t>
            </w:r>
          </w:p>
        </w:tc>
        <w:tc>
          <w:tcPr>
            <w:tcW w:type="dxa" w:w="3744"/>
          </w:tcPr>
          <w:p>
            <w:pPr>
              <w:spacing w:after="20" w:before="20"/>
              <w:jc w:val="left"/>
            </w:pPr>
            <w:r/>
            <w:r>
              <w:rPr>
                <w:rFonts w:ascii="Calibri" w:hAnsi="Calibri"/>
                <w:b w:val="0"/>
                <w:color w:val="23232D"/>
                <w:sz w:val="17"/>
              </w:rPr>
              <w:t>ORM Eloquent (requêtes paramétrées), Form Requests de validation</w:t>
            </w:r>
          </w:p>
        </w:tc>
        <w:tc>
          <w:tcPr>
            <w:tcW w:type="dxa" w:w="2448"/>
          </w:tcPr>
          <w:p>
            <w:pPr>
              <w:spacing w:after="20" w:before="20"/>
              <w:jc w:val="left"/>
            </w:pPr>
            <w:r/>
            <w:r>
              <w:rPr>
                <w:rFonts w:ascii="Calibri" w:hAnsi="Calibri"/>
                <w:b w:val="0"/>
                <w:color w:val="23232D"/>
                <w:sz w:val="17"/>
              </w:rPr>
              <w:t>Purification/échappement HTML côté API</w:t>
            </w:r>
          </w:p>
        </w:tc>
      </w:tr>
      <w:tr>
        <w:tc>
          <w:tcPr>
            <w:tcW w:type="dxa" w:w="3024"/>
            <w:shd w:val="clear" w:fill="F2F2F2"/>
          </w:tcPr>
          <w:p>
            <w:pPr>
              <w:spacing w:after="20" w:before="20"/>
              <w:jc w:val="left"/>
            </w:pPr>
            <w:r/>
            <w:r>
              <w:rPr>
                <w:rFonts w:ascii="Calibri" w:hAnsi="Calibri"/>
                <w:b w:val="0"/>
                <w:color w:val="23232D"/>
                <w:sz w:val="17"/>
              </w:rPr>
              <w:t>A05 Mauvaise configuration</w:t>
            </w:r>
          </w:p>
        </w:tc>
        <w:tc>
          <w:tcPr>
            <w:tcW w:type="dxa" w:w="3744"/>
            <w:shd w:val="clear" w:fill="F2F2F2"/>
          </w:tcPr>
          <w:p>
            <w:pPr>
              <w:spacing w:after="20" w:before="20"/>
              <w:jc w:val="left"/>
            </w:pPr>
            <w:r/>
            <w:r>
              <w:rPr>
                <w:rFonts w:ascii="Calibri" w:hAnsi="Calibri"/>
                <w:b w:val="0"/>
                <w:color w:val="23232D"/>
                <w:sz w:val="17"/>
              </w:rPr>
              <w:t>APP_DEBUG=false en prod, secrets hors dépôt, CORS en liste blanche</w:t>
            </w:r>
          </w:p>
        </w:tc>
        <w:tc>
          <w:tcPr>
            <w:tcW w:type="dxa" w:w="2448"/>
            <w:shd w:val="clear" w:fill="F2F2F2"/>
          </w:tcPr>
          <w:p>
            <w:pPr>
              <w:spacing w:after="20" w:before="20"/>
              <w:jc w:val="left"/>
            </w:pPr>
            <w:r/>
            <w:r>
              <w:rPr>
                <w:rFonts w:ascii="Calibri" w:hAnsi="Calibri"/>
                <w:b w:val="0"/>
                <w:color w:val="23232D"/>
                <w:sz w:val="17"/>
              </w:rPr>
              <w:t>En-têtes de sécurité HSTS/CSP/X-Frame-Options</w:t>
            </w:r>
          </w:p>
        </w:tc>
      </w:tr>
      <w:tr>
        <w:tc>
          <w:tcPr>
            <w:tcW w:type="dxa" w:w="3024"/>
          </w:tcPr>
          <w:p>
            <w:pPr>
              <w:spacing w:after="20" w:before="20"/>
              <w:jc w:val="left"/>
            </w:pPr>
            <w:r/>
            <w:r>
              <w:rPr>
                <w:rFonts w:ascii="Calibri" w:hAnsi="Calibri"/>
                <w:b w:val="0"/>
                <w:color w:val="23232D"/>
                <w:sz w:val="17"/>
              </w:rPr>
              <w:t>A07 Authentification défaillante</w:t>
            </w:r>
          </w:p>
        </w:tc>
        <w:tc>
          <w:tcPr>
            <w:tcW w:type="dxa" w:w="3744"/>
          </w:tcPr>
          <w:p>
            <w:pPr>
              <w:spacing w:after="20" w:before="20"/>
              <w:jc w:val="left"/>
            </w:pPr>
            <w:r/>
            <w:r>
              <w:rPr>
                <w:rFonts w:ascii="Calibri" w:hAnsi="Calibri"/>
                <w:b w:val="0"/>
                <w:color w:val="23232D"/>
                <w:sz w:val="17"/>
              </w:rPr>
              <w:t>JWT signé (HS256), TTL 60 min, blacklist au logout, rate limiting</w:t>
            </w:r>
          </w:p>
        </w:tc>
        <w:tc>
          <w:tcPr>
            <w:tcW w:type="dxa" w:w="2448"/>
          </w:tcPr>
          <w:p>
            <w:pPr>
              <w:spacing w:after="20" w:before="20"/>
              <w:jc w:val="left"/>
            </w:pPr>
            <w:r/>
            <w:r>
              <w:rPr>
                <w:rFonts w:ascii="Calibri" w:hAnsi="Calibri"/>
                <w:b w:val="0"/>
                <w:color w:val="23232D"/>
                <w:sz w:val="17"/>
              </w:rPr>
              <w:t>Politique de mot de passe renforcée (complexité), vérification d'e-mail, MFA admin</w:t>
            </w:r>
          </w:p>
        </w:tc>
      </w:tr>
      <w:tr>
        <w:tc>
          <w:tcPr>
            <w:tcW w:type="dxa" w:w="3024"/>
            <w:shd w:val="clear" w:fill="F2F2F2"/>
          </w:tcPr>
          <w:p>
            <w:pPr>
              <w:spacing w:after="20" w:before="20"/>
              <w:jc w:val="left"/>
            </w:pPr>
            <w:r/>
            <w:r>
              <w:rPr>
                <w:rFonts w:ascii="Calibri" w:hAnsi="Calibri"/>
                <w:b w:val="0"/>
                <w:color w:val="23232D"/>
                <w:sz w:val="17"/>
              </w:rPr>
              <w:t>A09 Journalisation insuffisante</w:t>
            </w:r>
          </w:p>
        </w:tc>
        <w:tc>
          <w:tcPr>
            <w:tcW w:type="dxa" w:w="3744"/>
            <w:shd w:val="clear" w:fill="F2F2F2"/>
          </w:tcPr>
          <w:p>
            <w:pPr>
              <w:spacing w:after="20" w:before="20"/>
              <w:jc w:val="left"/>
            </w:pPr>
            <w:r/>
            <w:r>
              <w:rPr>
                <w:rFonts w:ascii="Calibri" w:hAnsi="Calibri"/>
                <w:b w:val="0"/>
                <w:color w:val="23232D"/>
                <w:sz w:val="17"/>
              </w:rPr>
              <w:t>Piste d'audit immuable (IP, ancienne/nouvelle valeur)</w:t>
            </w:r>
          </w:p>
        </w:tc>
        <w:tc>
          <w:tcPr>
            <w:tcW w:type="dxa" w:w="2448"/>
            <w:shd w:val="clear" w:fill="F2F2F2"/>
          </w:tcPr>
          <w:p>
            <w:pPr>
              <w:spacing w:after="20" w:before="20"/>
              <w:jc w:val="left"/>
            </w:pPr>
            <w:r/>
            <w:r>
              <w:rPr>
                <w:rFonts w:ascii="Calibri" w:hAnsi="Calibri"/>
                <w:b w:val="0"/>
                <w:color w:val="23232D"/>
                <w:sz w:val="17"/>
              </w:rPr>
              <w:t>Centralisation des logs + alerting (supervision)</w:t>
            </w:r>
          </w:p>
        </w:tc>
      </w:tr>
    </w:tbl>
    <w:p>
      <w:pPr>
        <w:spacing w:after="40"/>
      </w:pPr>
    </w:p>
    <w:p>
      <w:pPr>
        <w:pStyle w:val="Heading2"/>
      </w:pPr>
      <w:r>
        <w:t>5.2 Matrice de criticité des risques</w:t>
      </w:r>
    </w:p>
    <w:p>
      <w:pPr>
        <w:spacing w:after="120"/>
        <w:jc w:val="both"/>
      </w:pPr>
      <w:r>
        <w:rPr>
          <w:b w:val="0"/>
          <w:i w:val="0"/>
          <w:color w:val="23232D"/>
          <w:sz w:val="21"/>
        </w:rPr>
        <w:t>Chaque risque est positionné selon sa gravité et sa probabilité ; la criticité est le produit des deux (échelle de 1 à 25). Cette hiérarchisation oriente la priorité des actions.</w:t>
      </w:r>
    </w:p>
    <w:p>
      <w:pPr>
        <w:jc w:val="center"/>
      </w:pPr>
      <w:r>
        <w:drawing>
          <wp:inline xmlns:a="http://schemas.openxmlformats.org/drawingml/2006/main" xmlns:pic="http://schemas.openxmlformats.org/drawingml/2006/picture">
            <wp:extent cx="5669280" cy="3660963"/>
            <wp:docPr id="3" name="Picture 3"/>
            <wp:cNvGraphicFramePr>
              <a:graphicFrameLocks noChangeAspect="1"/>
            </wp:cNvGraphicFramePr>
            <a:graphic>
              <a:graphicData uri="http://schemas.openxmlformats.org/drawingml/2006/picture">
                <pic:pic>
                  <pic:nvPicPr>
                    <pic:cNvPr id="0" name="matrice_risques.png"/>
                    <pic:cNvPicPr/>
                  </pic:nvPicPr>
                  <pic:blipFill>
                    <a:blip r:embed="rId11"/>
                    <a:stretch>
                      <a:fillRect/>
                    </a:stretch>
                  </pic:blipFill>
                  <pic:spPr>
                    <a:xfrm>
                      <a:off x="0" y="0"/>
                      <a:ext cx="5669280" cy="3660963"/>
                    </a:xfrm>
                    <a:prstGeom prst="rect"/>
                  </pic:spPr>
                </pic:pic>
              </a:graphicData>
            </a:graphic>
          </wp:inline>
        </w:drawing>
      </w:r>
    </w:p>
    <w:p>
      <w:pPr>
        <w:spacing w:after="160"/>
        <w:jc w:val="center"/>
      </w:pPr>
      <w:r>
        <w:rPr>
          <w:i/>
          <w:color w:val="6E6E6E"/>
          <w:sz w:val="18"/>
        </w:rPr>
        <w:t>Figure — Matrice de criticité des risques du projet CESIZen.</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720"/>
            <w:shd w:val="clear" w:fill="004682"/>
          </w:tcPr>
          <w:p>
            <w:pPr>
              <w:spacing w:after="20" w:before="20"/>
              <w:jc w:val="center"/>
            </w:pPr>
            <w:r/>
            <w:r>
              <w:rPr>
                <w:rFonts w:ascii="Calibri" w:hAnsi="Calibri"/>
                <w:b/>
                <w:color w:val="FFFFFF"/>
                <w:sz w:val="17"/>
              </w:rPr>
              <w:t>Réf.</w:t>
            </w:r>
          </w:p>
        </w:tc>
        <w:tc>
          <w:tcPr>
            <w:tcW w:type="dxa" w:w="3600"/>
            <w:shd w:val="clear" w:fill="004682"/>
          </w:tcPr>
          <w:p>
            <w:pPr>
              <w:spacing w:after="20" w:before="20"/>
              <w:jc w:val="center"/>
            </w:pPr>
            <w:r/>
            <w:r>
              <w:rPr>
                <w:rFonts w:ascii="Calibri" w:hAnsi="Calibri"/>
                <w:b/>
                <w:color w:val="FFFFFF"/>
                <w:sz w:val="17"/>
              </w:rPr>
              <w:t>Risque</w:t>
            </w:r>
          </w:p>
        </w:tc>
        <w:tc>
          <w:tcPr>
            <w:tcW w:type="dxa" w:w="1584"/>
            <w:shd w:val="clear" w:fill="004682"/>
          </w:tcPr>
          <w:p>
            <w:pPr>
              <w:spacing w:after="20" w:before="20"/>
              <w:jc w:val="center"/>
            </w:pPr>
            <w:r/>
            <w:r>
              <w:rPr>
                <w:rFonts w:ascii="Calibri" w:hAnsi="Calibri"/>
                <w:b/>
                <w:color w:val="FFFFFF"/>
                <w:sz w:val="17"/>
              </w:rPr>
              <w:t>Gravité</w:t>
            </w:r>
          </w:p>
        </w:tc>
        <w:tc>
          <w:tcPr>
            <w:tcW w:type="dxa" w:w="1440"/>
            <w:shd w:val="clear" w:fill="004682"/>
          </w:tcPr>
          <w:p>
            <w:pPr>
              <w:spacing w:after="20" w:before="20"/>
              <w:jc w:val="center"/>
            </w:pPr>
            <w:r/>
            <w:r>
              <w:rPr>
                <w:rFonts w:ascii="Calibri" w:hAnsi="Calibri"/>
                <w:b/>
                <w:color w:val="FFFFFF"/>
                <w:sz w:val="17"/>
              </w:rPr>
              <w:t>Prob.</w:t>
            </w:r>
          </w:p>
        </w:tc>
        <w:tc>
          <w:tcPr>
            <w:tcW w:type="dxa" w:w="1296"/>
            <w:shd w:val="clear" w:fill="004682"/>
          </w:tcPr>
          <w:p>
            <w:pPr>
              <w:spacing w:after="20" w:before="20"/>
              <w:jc w:val="center"/>
            </w:pPr>
            <w:r/>
            <w:r>
              <w:rPr>
                <w:rFonts w:ascii="Calibri" w:hAnsi="Calibri"/>
                <w:b/>
                <w:color w:val="FFFFFF"/>
                <w:sz w:val="17"/>
              </w:rPr>
              <w:t>Criticité</w:t>
            </w:r>
          </w:p>
        </w:tc>
        <w:tc>
          <w:tcPr>
            <w:tcW w:type="dxa" w:w="1296"/>
            <w:shd w:val="clear" w:fill="004682"/>
          </w:tcPr>
          <w:p>
            <w:pPr>
              <w:spacing w:after="20" w:before="20"/>
              <w:jc w:val="center"/>
            </w:pPr>
            <w:r/>
            <w:r>
              <w:rPr>
                <w:rFonts w:ascii="Calibri" w:hAnsi="Calibri"/>
                <w:b/>
                <w:color w:val="FFFFFF"/>
                <w:sz w:val="17"/>
              </w:rPr>
              <w:t>Priorité</w:t>
            </w:r>
          </w:p>
        </w:tc>
      </w:tr>
      <w:tr>
        <w:tc>
          <w:tcPr>
            <w:tcW w:type="dxa" w:w="720"/>
          </w:tcPr>
          <w:p>
            <w:pPr>
              <w:spacing w:after="20" w:before="20"/>
              <w:jc w:val="left"/>
            </w:pPr>
            <w:r/>
            <w:r>
              <w:rPr>
                <w:rFonts w:ascii="Calibri" w:hAnsi="Calibri"/>
                <w:b w:val="0"/>
                <w:color w:val="23232D"/>
                <w:sz w:val="17"/>
              </w:rPr>
              <w:t>R1</w:t>
            </w:r>
          </w:p>
        </w:tc>
        <w:tc>
          <w:tcPr>
            <w:tcW w:type="dxa" w:w="3600"/>
          </w:tcPr>
          <w:p>
            <w:pPr>
              <w:spacing w:after="20" w:before="20"/>
              <w:jc w:val="left"/>
            </w:pPr>
            <w:r/>
            <w:r>
              <w:rPr>
                <w:rFonts w:ascii="Calibri" w:hAnsi="Calibri"/>
                <w:b w:val="0"/>
                <w:color w:val="23232D"/>
                <w:sz w:val="17"/>
              </w:rPr>
              <w:t>Fuite de données de santé (art. 9)</w:t>
            </w:r>
          </w:p>
        </w:tc>
        <w:tc>
          <w:tcPr>
            <w:tcW w:type="dxa" w:w="1584"/>
          </w:tcPr>
          <w:p>
            <w:pPr>
              <w:spacing w:after="20" w:before="20"/>
              <w:jc w:val="left"/>
            </w:pPr>
            <w:r/>
            <w:r>
              <w:rPr>
                <w:rFonts w:ascii="Calibri" w:hAnsi="Calibri"/>
                <w:b w:val="0"/>
                <w:color w:val="23232D"/>
                <w:sz w:val="17"/>
              </w:rPr>
              <w:t>Critique (4)</w:t>
            </w:r>
          </w:p>
        </w:tc>
        <w:tc>
          <w:tcPr>
            <w:tcW w:type="dxa" w:w="1440"/>
          </w:tcPr>
          <w:p>
            <w:pPr>
              <w:spacing w:after="20" w:before="20"/>
              <w:jc w:val="left"/>
            </w:pPr>
            <w:r/>
            <w:r>
              <w:rPr>
                <w:rFonts w:ascii="Calibri" w:hAnsi="Calibri"/>
                <w:b w:val="0"/>
                <w:color w:val="23232D"/>
                <w:sz w:val="17"/>
              </w:rPr>
              <w:t>Faible (2)</w:t>
            </w:r>
          </w:p>
        </w:tc>
        <w:tc>
          <w:tcPr>
            <w:tcW w:type="dxa" w:w="1296"/>
          </w:tcPr>
          <w:p>
            <w:pPr>
              <w:spacing w:after="20" w:before="20"/>
              <w:jc w:val="left"/>
            </w:pPr>
            <w:r/>
            <w:r>
              <w:rPr>
                <w:rFonts w:ascii="Calibri" w:hAnsi="Calibri"/>
                <w:b w:val="0"/>
                <w:color w:val="23232D"/>
                <w:sz w:val="17"/>
              </w:rPr>
              <w:t>8</w:t>
            </w:r>
          </w:p>
        </w:tc>
        <w:tc>
          <w:tcPr>
            <w:tcW w:type="dxa" w:w="1296"/>
          </w:tcPr>
          <w:p>
            <w:pPr>
              <w:spacing w:after="20" w:before="20"/>
              <w:jc w:val="left"/>
            </w:pPr>
            <w:r/>
            <w:r>
              <w:rPr>
                <w:rFonts w:ascii="Calibri" w:hAnsi="Calibri"/>
                <w:b w:val="0"/>
                <w:color w:val="23232D"/>
                <w:sz w:val="17"/>
              </w:rPr>
              <w:t>Élevée</w:t>
            </w:r>
          </w:p>
        </w:tc>
      </w:tr>
      <w:tr>
        <w:tc>
          <w:tcPr>
            <w:tcW w:type="dxa" w:w="720"/>
            <w:shd w:val="clear" w:fill="F2F2F2"/>
          </w:tcPr>
          <w:p>
            <w:pPr>
              <w:spacing w:after="20" w:before="20"/>
              <w:jc w:val="left"/>
            </w:pPr>
            <w:r/>
            <w:r>
              <w:rPr>
                <w:rFonts w:ascii="Calibri" w:hAnsi="Calibri"/>
                <w:b w:val="0"/>
                <w:color w:val="23232D"/>
                <w:sz w:val="17"/>
              </w:rPr>
              <w:t>R7</w:t>
            </w:r>
          </w:p>
        </w:tc>
        <w:tc>
          <w:tcPr>
            <w:tcW w:type="dxa" w:w="3600"/>
            <w:shd w:val="clear" w:fill="F2F2F2"/>
          </w:tcPr>
          <w:p>
            <w:pPr>
              <w:spacing w:after="20" w:before="20"/>
              <w:jc w:val="left"/>
            </w:pPr>
            <w:r/>
            <w:r>
              <w:rPr>
                <w:rFonts w:ascii="Calibri" w:hAnsi="Calibri"/>
                <w:b w:val="0"/>
                <w:color w:val="23232D"/>
                <w:sz w:val="17"/>
              </w:rPr>
              <w:t>Absence de chiffrement au repos</w:t>
            </w:r>
          </w:p>
        </w:tc>
        <w:tc>
          <w:tcPr>
            <w:tcW w:type="dxa" w:w="1584"/>
            <w:shd w:val="clear" w:fill="F2F2F2"/>
          </w:tcPr>
          <w:p>
            <w:pPr>
              <w:spacing w:after="20" w:before="20"/>
              <w:jc w:val="left"/>
            </w:pPr>
            <w:r/>
            <w:r>
              <w:rPr>
                <w:rFonts w:ascii="Calibri" w:hAnsi="Calibri"/>
                <w:b w:val="0"/>
                <w:color w:val="23232D"/>
                <w:sz w:val="17"/>
              </w:rPr>
              <w:t>Critique (4)</w:t>
            </w:r>
          </w:p>
        </w:tc>
        <w:tc>
          <w:tcPr>
            <w:tcW w:type="dxa" w:w="1440"/>
            <w:shd w:val="clear" w:fill="F2F2F2"/>
          </w:tcPr>
          <w:p>
            <w:pPr>
              <w:spacing w:after="20" w:before="20"/>
              <w:jc w:val="left"/>
            </w:pPr>
            <w:r/>
            <w:r>
              <w:rPr>
                <w:rFonts w:ascii="Calibri" w:hAnsi="Calibri"/>
                <w:b w:val="0"/>
                <w:color w:val="23232D"/>
                <w:sz w:val="17"/>
              </w:rPr>
              <w:t>Moyenne (3)</w:t>
            </w:r>
          </w:p>
        </w:tc>
        <w:tc>
          <w:tcPr>
            <w:tcW w:type="dxa" w:w="1296"/>
            <w:shd w:val="clear" w:fill="F2F2F2"/>
          </w:tcPr>
          <w:p>
            <w:pPr>
              <w:spacing w:after="20" w:before="20"/>
              <w:jc w:val="left"/>
            </w:pPr>
            <w:r/>
            <w:r>
              <w:rPr>
                <w:rFonts w:ascii="Calibri" w:hAnsi="Calibri"/>
                <w:b w:val="0"/>
                <w:color w:val="23232D"/>
                <w:sz w:val="17"/>
              </w:rPr>
              <w:t>12</w:t>
            </w:r>
          </w:p>
        </w:tc>
        <w:tc>
          <w:tcPr>
            <w:tcW w:type="dxa" w:w="1296"/>
            <w:shd w:val="clear" w:fill="F2F2F2"/>
          </w:tcPr>
          <w:p>
            <w:pPr>
              <w:spacing w:after="20" w:before="20"/>
              <w:jc w:val="left"/>
            </w:pPr>
            <w:r/>
            <w:r>
              <w:rPr>
                <w:rFonts w:ascii="Calibri" w:hAnsi="Calibri"/>
                <w:b w:val="0"/>
                <w:color w:val="23232D"/>
                <w:sz w:val="17"/>
              </w:rPr>
              <w:t>Élevée</w:t>
            </w:r>
          </w:p>
        </w:tc>
      </w:tr>
      <w:tr>
        <w:tc>
          <w:tcPr>
            <w:tcW w:type="dxa" w:w="720"/>
          </w:tcPr>
          <w:p>
            <w:pPr>
              <w:spacing w:after="20" w:before="20"/>
              <w:jc w:val="left"/>
            </w:pPr>
            <w:r/>
            <w:r>
              <w:rPr>
                <w:rFonts w:ascii="Calibri" w:hAnsi="Calibri"/>
                <w:b w:val="0"/>
                <w:color w:val="23232D"/>
                <w:sz w:val="17"/>
              </w:rPr>
              <w:t>R2</w:t>
            </w:r>
          </w:p>
        </w:tc>
        <w:tc>
          <w:tcPr>
            <w:tcW w:type="dxa" w:w="3600"/>
          </w:tcPr>
          <w:p>
            <w:pPr>
              <w:spacing w:after="20" w:before="20"/>
              <w:jc w:val="left"/>
            </w:pPr>
            <w:r/>
            <w:r>
              <w:rPr>
                <w:rFonts w:ascii="Calibri" w:hAnsi="Calibri"/>
                <w:b w:val="0"/>
                <w:color w:val="23232D"/>
                <w:sz w:val="17"/>
              </w:rPr>
              <w:t>Injection SQL / XSS</w:t>
            </w:r>
          </w:p>
        </w:tc>
        <w:tc>
          <w:tcPr>
            <w:tcW w:type="dxa" w:w="1584"/>
          </w:tcPr>
          <w:p>
            <w:pPr>
              <w:spacing w:after="20" w:before="20"/>
              <w:jc w:val="left"/>
            </w:pPr>
            <w:r/>
            <w:r>
              <w:rPr>
                <w:rFonts w:ascii="Calibri" w:hAnsi="Calibri"/>
                <w:b w:val="0"/>
                <w:color w:val="23232D"/>
                <w:sz w:val="17"/>
              </w:rPr>
              <w:t>Grave (3)</w:t>
            </w:r>
          </w:p>
        </w:tc>
        <w:tc>
          <w:tcPr>
            <w:tcW w:type="dxa" w:w="1440"/>
          </w:tcPr>
          <w:p>
            <w:pPr>
              <w:spacing w:after="20" w:before="20"/>
              <w:jc w:val="left"/>
            </w:pPr>
            <w:r/>
            <w:r>
              <w:rPr>
                <w:rFonts w:ascii="Calibri" w:hAnsi="Calibri"/>
                <w:b w:val="0"/>
                <w:color w:val="23232D"/>
                <w:sz w:val="17"/>
              </w:rPr>
              <w:t>Moyenne (3)</w:t>
            </w:r>
          </w:p>
        </w:tc>
        <w:tc>
          <w:tcPr>
            <w:tcW w:type="dxa" w:w="1296"/>
          </w:tcPr>
          <w:p>
            <w:pPr>
              <w:spacing w:after="20" w:before="20"/>
              <w:jc w:val="left"/>
            </w:pPr>
            <w:r/>
            <w:r>
              <w:rPr>
                <w:rFonts w:ascii="Calibri" w:hAnsi="Calibri"/>
                <w:b w:val="0"/>
                <w:color w:val="23232D"/>
                <w:sz w:val="17"/>
              </w:rPr>
              <w:t>9</w:t>
            </w:r>
          </w:p>
        </w:tc>
        <w:tc>
          <w:tcPr>
            <w:tcW w:type="dxa" w:w="1296"/>
          </w:tcPr>
          <w:p>
            <w:pPr>
              <w:spacing w:after="20" w:before="20"/>
              <w:jc w:val="left"/>
            </w:pPr>
            <w:r/>
            <w:r>
              <w:rPr>
                <w:rFonts w:ascii="Calibri" w:hAnsi="Calibri"/>
                <w:b w:val="0"/>
                <w:color w:val="23232D"/>
                <w:sz w:val="17"/>
              </w:rPr>
              <w:t>Élevée</w:t>
            </w:r>
          </w:p>
        </w:tc>
      </w:tr>
      <w:tr>
        <w:tc>
          <w:tcPr>
            <w:tcW w:type="dxa" w:w="720"/>
            <w:shd w:val="clear" w:fill="F2F2F2"/>
          </w:tcPr>
          <w:p>
            <w:pPr>
              <w:spacing w:after="20" w:before="20"/>
              <w:jc w:val="left"/>
            </w:pPr>
            <w:r/>
            <w:r>
              <w:rPr>
                <w:rFonts w:ascii="Calibri" w:hAnsi="Calibri"/>
                <w:b w:val="0"/>
                <w:color w:val="23232D"/>
                <w:sz w:val="17"/>
              </w:rPr>
              <w:t>R3</w:t>
            </w:r>
          </w:p>
        </w:tc>
        <w:tc>
          <w:tcPr>
            <w:tcW w:type="dxa" w:w="3600"/>
            <w:shd w:val="clear" w:fill="F2F2F2"/>
          </w:tcPr>
          <w:p>
            <w:pPr>
              <w:spacing w:after="20" w:before="20"/>
              <w:jc w:val="left"/>
            </w:pPr>
            <w:r/>
            <w:r>
              <w:rPr>
                <w:rFonts w:ascii="Calibri" w:hAnsi="Calibri"/>
                <w:b w:val="0"/>
                <w:color w:val="23232D"/>
                <w:sz w:val="17"/>
              </w:rPr>
              <w:t>Compromission d'un compte admin</w:t>
            </w:r>
          </w:p>
        </w:tc>
        <w:tc>
          <w:tcPr>
            <w:tcW w:type="dxa" w:w="1584"/>
            <w:shd w:val="clear" w:fill="F2F2F2"/>
          </w:tcPr>
          <w:p>
            <w:pPr>
              <w:spacing w:after="20" w:before="20"/>
              <w:jc w:val="left"/>
            </w:pPr>
            <w:r/>
            <w:r>
              <w:rPr>
                <w:rFonts w:ascii="Calibri" w:hAnsi="Calibri"/>
                <w:b w:val="0"/>
                <w:color w:val="23232D"/>
                <w:sz w:val="17"/>
              </w:rPr>
              <w:t>Grave (3)</w:t>
            </w:r>
          </w:p>
        </w:tc>
        <w:tc>
          <w:tcPr>
            <w:tcW w:type="dxa" w:w="1440"/>
            <w:shd w:val="clear" w:fill="F2F2F2"/>
          </w:tcPr>
          <w:p>
            <w:pPr>
              <w:spacing w:after="20" w:before="20"/>
              <w:jc w:val="left"/>
            </w:pPr>
            <w:r/>
            <w:r>
              <w:rPr>
                <w:rFonts w:ascii="Calibri" w:hAnsi="Calibri"/>
                <w:b w:val="0"/>
                <w:color w:val="23232D"/>
                <w:sz w:val="17"/>
              </w:rPr>
              <w:t>Faible (2)</w:t>
            </w:r>
          </w:p>
        </w:tc>
        <w:tc>
          <w:tcPr>
            <w:tcW w:type="dxa" w:w="1296"/>
            <w:shd w:val="clear" w:fill="F2F2F2"/>
          </w:tcPr>
          <w:p>
            <w:pPr>
              <w:spacing w:after="20" w:before="20"/>
              <w:jc w:val="left"/>
            </w:pPr>
            <w:r/>
            <w:r>
              <w:rPr>
                <w:rFonts w:ascii="Calibri" w:hAnsi="Calibri"/>
                <w:b w:val="0"/>
                <w:color w:val="23232D"/>
                <w:sz w:val="17"/>
              </w:rPr>
              <w:t>6</w:t>
            </w:r>
          </w:p>
        </w:tc>
        <w:tc>
          <w:tcPr>
            <w:tcW w:type="dxa" w:w="1296"/>
            <w:shd w:val="clear" w:fill="F2F2F2"/>
          </w:tcPr>
          <w:p>
            <w:pPr>
              <w:spacing w:after="20" w:before="20"/>
              <w:jc w:val="left"/>
            </w:pPr>
            <w:r/>
            <w:r>
              <w:rPr>
                <w:rFonts w:ascii="Calibri" w:hAnsi="Calibri"/>
                <w:b w:val="0"/>
                <w:color w:val="23232D"/>
                <w:sz w:val="17"/>
              </w:rPr>
              <w:t>Moyenne</w:t>
            </w:r>
          </w:p>
        </w:tc>
      </w:tr>
      <w:tr>
        <w:tc>
          <w:tcPr>
            <w:tcW w:type="dxa" w:w="720"/>
          </w:tcPr>
          <w:p>
            <w:pPr>
              <w:spacing w:after="20" w:before="20"/>
              <w:jc w:val="left"/>
            </w:pPr>
            <w:r/>
            <w:r>
              <w:rPr>
                <w:rFonts w:ascii="Calibri" w:hAnsi="Calibri"/>
                <w:b w:val="0"/>
                <w:color w:val="23232D"/>
                <w:sz w:val="17"/>
              </w:rPr>
              <w:t>R6</w:t>
            </w:r>
          </w:p>
        </w:tc>
        <w:tc>
          <w:tcPr>
            <w:tcW w:type="dxa" w:w="3600"/>
          </w:tcPr>
          <w:p>
            <w:pPr>
              <w:spacing w:after="20" w:before="20"/>
              <w:jc w:val="left"/>
            </w:pPr>
            <w:r/>
            <w:r>
              <w:rPr>
                <w:rFonts w:ascii="Calibri" w:hAnsi="Calibri"/>
                <w:b w:val="0"/>
                <w:color w:val="23232D"/>
                <w:sz w:val="17"/>
              </w:rPr>
              <w:t>Dépendances vulnérables</w:t>
            </w:r>
          </w:p>
        </w:tc>
        <w:tc>
          <w:tcPr>
            <w:tcW w:type="dxa" w:w="1584"/>
          </w:tcPr>
          <w:p>
            <w:pPr>
              <w:spacing w:after="20" w:before="20"/>
              <w:jc w:val="left"/>
            </w:pPr>
            <w:r/>
            <w:r>
              <w:rPr>
                <w:rFonts w:ascii="Calibri" w:hAnsi="Calibri"/>
                <w:b w:val="0"/>
                <w:color w:val="23232D"/>
                <w:sz w:val="17"/>
              </w:rPr>
              <w:t>Modérée (2)</w:t>
            </w:r>
          </w:p>
        </w:tc>
        <w:tc>
          <w:tcPr>
            <w:tcW w:type="dxa" w:w="1440"/>
          </w:tcPr>
          <w:p>
            <w:pPr>
              <w:spacing w:after="20" w:before="20"/>
              <w:jc w:val="left"/>
            </w:pPr>
            <w:r/>
            <w:r>
              <w:rPr>
                <w:rFonts w:ascii="Calibri" w:hAnsi="Calibri"/>
                <w:b w:val="0"/>
                <w:color w:val="23232D"/>
                <w:sz w:val="17"/>
              </w:rPr>
              <w:t>Forte (4)</w:t>
            </w:r>
          </w:p>
        </w:tc>
        <w:tc>
          <w:tcPr>
            <w:tcW w:type="dxa" w:w="1296"/>
          </w:tcPr>
          <w:p>
            <w:pPr>
              <w:spacing w:after="20" w:before="20"/>
              <w:jc w:val="left"/>
            </w:pPr>
            <w:r/>
            <w:r>
              <w:rPr>
                <w:rFonts w:ascii="Calibri" w:hAnsi="Calibri"/>
                <w:b w:val="0"/>
                <w:color w:val="23232D"/>
                <w:sz w:val="17"/>
              </w:rPr>
              <w:t>8</w:t>
            </w:r>
          </w:p>
        </w:tc>
        <w:tc>
          <w:tcPr>
            <w:tcW w:type="dxa" w:w="1296"/>
          </w:tcPr>
          <w:p>
            <w:pPr>
              <w:spacing w:after="20" w:before="20"/>
              <w:jc w:val="left"/>
            </w:pPr>
            <w:r/>
            <w:r>
              <w:rPr>
                <w:rFonts w:ascii="Calibri" w:hAnsi="Calibri"/>
                <w:b w:val="0"/>
                <w:color w:val="23232D"/>
                <w:sz w:val="17"/>
              </w:rPr>
              <w:t>Moyenne</w:t>
            </w:r>
          </w:p>
        </w:tc>
      </w:tr>
      <w:tr>
        <w:tc>
          <w:tcPr>
            <w:tcW w:type="dxa" w:w="720"/>
            <w:shd w:val="clear" w:fill="F2F2F2"/>
          </w:tcPr>
          <w:p>
            <w:pPr>
              <w:spacing w:after="20" w:before="20"/>
              <w:jc w:val="left"/>
            </w:pPr>
            <w:r/>
            <w:r>
              <w:rPr>
                <w:rFonts w:ascii="Calibri" w:hAnsi="Calibri"/>
                <w:b w:val="0"/>
                <w:color w:val="23232D"/>
                <w:sz w:val="17"/>
              </w:rPr>
              <w:t>R4</w:t>
            </w:r>
          </w:p>
        </w:tc>
        <w:tc>
          <w:tcPr>
            <w:tcW w:type="dxa" w:w="3600"/>
            <w:shd w:val="clear" w:fill="F2F2F2"/>
          </w:tcPr>
          <w:p>
            <w:pPr>
              <w:spacing w:after="20" w:before="20"/>
              <w:jc w:val="left"/>
            </w:pPr>
            <w:r/>
            <w:r>
              <w:rPr>
                <w:rFonts w:ascii="Calibri" w:hAnsi="Calibri"/>
                <w:b w:val="0"/>
                <w:color w:val="23232D"/>
                <w:sz w:val="17"/>
              </w:rPr>
              <w:t>DDoS / indisponibilité</w:t>
            </w:r>
          </w:p>
        </w:tc>
        <w:tc>
          <w:tcPr>
            <w:tcW w:type="dxa" w:w="1584"/>
            <w:shd w:val="clear" w:fill="F2F2F2"/>
          </w:tcPr>
          <w:p>
            <w:pPr>
              <w:spacing w:after="20" w:before="20"/>
              <w:jc w:val="left"/>
            </w:pPr>
            <w:r/>
            <w:r>
              <w:rPr>
                <w:rFonts w:ascii="Calibri" w:hAnsi="Calibri"/>
                <w:b w:val="0"/>
                <w:color w:val="23232D"/>
                <w:sz w:val="17"/>
              </w:rPr>
              <w:t>Modérée (2)</w:t>
            </w:r>
          </w:p>
        </w:tc>
        <w:tc>
          <w:tcPr>
            <w:tcW w:type="dxa" w:w="1440"/>
            <w:shd w:val="clear" w:fill="F2F2F2"/>
          </w:tcPr>
          <w:p>
            <w:pPr>
              <w:spacing w:after="20" w:before="20"/>
              <w:jc w:val="left"/>
            </w:pPr>
            <w:r/>
            <w:r>
              <w:rPr>
                <w:rFonts w:ascii="Calibri" w:hAnsi="Calibri"/>
                <w:b w:val="0"/>
                <w:color w:val="23232D"/>
                <w:sz w:val="17"/>
              </w:rPr>
              <w:t>Moyenne (3)</w:t>
            </w:r>
          </w:p>
        </w:tc>
        <w:tc>
          <w:tcPr>
            <w:tcW w:type="dxa" w:w="1296"/>
            <w:shd w:val="clear" w:fill="F2F2F2"/>
          </w:tcPr>
          <w:p>
            <w:pPr>
              <w:spacing w:after="20" w:before="20"/>
              <w:jc w:val="left"/>
            </w:pPr>
            <w:r/>
            <w:r>
              <w:rPr>
                <w:rFonts w:ascii="Calibri" w:hAnsi="Calibri"/>
                <w:b w:val="0"/>
                <w:color w:val="23232D"/>
                <w:sz w:val="17"/>
              </w:rPr>
              <w:t>6</w:t>
            </w:r>
          </w:p>
        </w:tc>
        <w:tc>
          <w:tcPr>
            <w:tcW w:type="dxa" w:w="1296"/>
            <w:shd w:val="clear" w:fill="F2F2F2"/>
          </w:tcPr>
          <w:p>
            <w:pPr>
              <w:spacing w:after="20" w:before="20"/>
              <w:jc w:val="left"/>
            </w:pPr>
            <w:r/>
            <w:r>
              <w:rPr>
                <w:rFonts w:ascii="Calibri" w:hAnsi="Calibri"/>
                <w:b w:val="0"/>
                <w:color w:val="23232D"/>
                <w:sz w:val="17"/>
              </w:rPr>
              <w:t>Moyenne</w:t>
            </w:r>
          </w:p>
        </w:tc>
      </w:tr>
      <w:tr>
        <w:tc>
          <w:tcPr>
            <w:tcW w:type="dxa" w:w="720"/>
          </w:tcPr>
          <w:p>
            <w:pPr>
              <w:spacing w:after="20" w:before="20"/>
              <w:jc w:val="left"/>
            </w:pPr>
            <w:r/>
            <w:r>
              <w:rPr>
                <w:rFonts w:ascii="Calibri" w:hAnsi="Calibri"/>
                <w:b w:val="0"/>
                <w:color w:val="23232D"/>
                <w:sz w:val="17"/>
              </w:rPr>
              <w:t>R5</w:t>
            </w:r>
          </w:p>
        </w:tc>
        <w:tc>
          <w:tcPr>
            <w:tcW w:type="dxa" w:w="3600"/>
          </w:tcPr>
          <w:p>
            <w:pPr>
              <w:spacing w:after="20" w:before="20"/>
              <w:jc w:val="left"/>
            </w:pPr>
            <w:r/>
            <w:r>
              <w:rPr>
                <w:rFonts w:ascii="Calibri" w:hAnsi="Calibri"/>
                <w:b w:val="0"/>
                <w:color w:val="23232D"/>
                <w:sz w:val="17"/>
              </w:rPr>
              <w:t>Perte de données (sauvegarde)</w:t>
            </w:r>
          </w:p>
        </w:tc>
        <w:tc>
          <w:tcPr>
            <w:tcW w:type="dxa" w:w="1584"/>
          </w:tcPr>
          <w:p>
            <w:pPr>
              <w:spacing w:after="20" w:before="20"/>
              <w:jc w:val="left"/>
            </w:pPr>
            <w:r/>
            <w:r>
              <w:rPr>
                <w:rFonts w:ascii="Calibri" w:hAnsi="Calibri"/>
                <w:b w:val="0"/>
                <w:color w:val="23232D"/>
                <w:sz w:val="17"/>
              </w:rPr>
              <w:t>Modérée (2)</w:t>
            </w:r>
          </w:p>
        </w:tc>
        <w:tc>
          <w:tcPr>
            <w:tcW w:type="dxa" w:w="1440"/>
          </w:tcPr>
          <w:p>
            <w:pPr>
              <w:spacing w:after="20" w:before="20"/>
              <w:jc w:val="left"/>
            </w:pPr>
            <w:r/>
            <w:r>
              <w:rPr>
                <w:rFonts w:ascii="Calibri" w:hAnsi="Calibri"/>
                <w:b w:val="0"/>
                <w:color w:val="23232D"/>
                <w:sz w:val="17"/>
              </w:rPr>
              <w:t>Faible (2)</w:t>
            </w:r>
          </w:p>
        </w:tc>
        <w:tc>
          <w:tcPr>
            <w:tcW w:type="dxa" w:w="1296"/>
          </w:tcPr>
          <w:p>
            <w:pPr>
              <w:spacing w:after="20" w:before="20"/>
              <w:jc w:val="left"/>
            </w:pPr>
            <w:r/>
            <w:r>
              <w:rPr>
                <w:rFonts w:ascii="Calibri" w:hAnsi="Calibri"/>
                <w:b w:val="0"/>
                <w:color w:val="23232D"/>
                <w:sz w:val="17"/>
              </w:rPr>
              <w:t>4</w:t>
            </w:r>
          </w:p>
        </w:tc>
        <w:tc>
          <w:tcPr>
            <w:tcW w:type="dxa" w:w="1296"/>
          </w:tcPr>
          <w:p>
            <w:pPr>
              <w:spacing w:after="20" w:before="20"/>
              <w:jc w:val="left"/>
            </w:pPr>
            <w:r/>
            <w:r>
              <w:rPr>
                <w:rFonts w:ascii="Calibri" w:hAnsi="Calibri"/>
                <w:b w:val="0"/>
                <w:color w:val="23232D"/>
                <w:sz w:val="17"/>
              </w:rPr>
              <w:t>Faible</w:t>
            </w:r>
          </w:p>
        </w:tc>
      </w:tr>
      <w:tr>
        <w:tc>
          <w:tcPr>
            <w:tcW w:type="dxa" w:w="720"/>
            <w:shd w:val="clear" w:fill="F2F2F2"/>
          </w:tcPr>
          <w:p>
            <w:pPr>
              <w:spacing w:after="20" w:before="20"/>
              <w:jc w:val="left"/>
            </w:pPr>
            <w:r/>
            <w:r>
              <w:rPr>
                <w:rFonts w:ascii="Calibri" w:hAnsi="Calibri"/>
                <w:b w:val="0"/>
                <w:color w:val="23232D"/>
                <w:sz w:val="17"/>
              </w:rPr>
              <w:t>R8</w:t>
            </w:r>
          </w:p>
        </w:tc>
        <w:tc>
          <w:tcPr>
            <w:tcW w:type="dxa" w:w="3600"/>
            <w:shd w:val="clear" w:fill="F2F2F2"/>
          </w:tcPr>
          <w:p>
            <w:pPr>
              <w:spacing w:after="20" w:before="20"/>
              <w:jc w:val="left"/>
            </w:pPr>
            <w:r/>
            <w:r>
              <w:rPr>
                <w:rFonts w:ascii="Calibri" w:hAnsi="Calibri"/>
                <w:b w:val="0"/>
                <w:color w:val="23232D"/>
                <w:sz w:val="17"/>
              </w:rPr>
              <w:t>Erreur humaine de déploiement</w:t>
            </w:r>
          </w:p>
        </w:tc>
        <w:tc>
          <w:tcPr>
            <w:tcW w:type="dxa" w:w="1584"/>
            <w:shd w:val="clear" w:fill="F2F2F2"/>
          </w:tcPr>
          <w:p>
            <w:pPr>
              <w:spacing w:after="20" w:before="20"/>
              <w:jc w:val="left"/>
            </w:pPr>
            <w:r/>
            <w:r>
              <w:rPr>
                <w:rFonts w:ascii="Calibri" w:hAnsi="Calibri"/>
                <w:b w:val="0"/>
                <w:color w:val="23232D"/>
                <w:sz w:val="17"/>
              </w:rPr>
              <w:t>Mineure (1)</w:t>
            </w:r>
          </w:p>
        </w:tc>
        <w:tc>
          <w:tcPr>
            <w:tcW w:type="dxa" w:w="1440"/>
            <w:shd w:val="clear" w:fill="F2F2F2"/>
          </w:tcPr>
          <w:p>
            <w:pPr>
              <w:spacing w:after="20" w:before="20"/>
              <w:jc w:val="left"/>
            </w:pPr>
            <w:r/>
            <w:r>
              <w:rPr>
                <w:rFonts w:ascii="Calibri" w:hAnsi="Calibri"/>
                <w:b w:val="0"/>
                <w:color w:val="23232D"/>
                <w:sz w:val="17"/>
              </w:rPr>
              <w:t>Faible (2)</w:t>
            </w:r>
          </w:p>
        </w:tc>
        <w:tc>
          <w:tcPr>
            <w:tcW w:type="dxa" w:w="1296"/>
            <w:shd w:val="clear" w:fill="F2F2F2"/>
          </w:tcPr>
          <w:p>
            <w:pPr>
              <w:spacing w:after="20" w:before="20"/>
              <w:jc w:val="left"/>
            </w:pPr>
            <w:r/>
            <w:r>
              <w:rPr>
                <w:rFonts w:ascii="Calibri" w:hAnsi="Calibri"/>
                <w:b w:val="0"/>
                <w:color w:val="23232D"/>
                <w:sz w:val="17"/>
              </w:rPr>
              <w:t>2</w:t>
            </w:r>
          </w:p>
        </w:tc>
        <w:tc>
          <w:tcPr>
            <w:tcW w:type="dxa" w:w="1296"/>
            <w:shd w:val="clear" w:fill="F2F2F2"/>
          </w:tcPr>
          <w:p>
            <w:pPr>
              <w:spacing w:after="20" w:before="20"/>
              <w:jc w:val="left"/>
            </w:pPr>
            <w:r/>
            <w:r>
              <w:rPr>
                <w:rFonts w:ascii="Calibri" w:hAnsi="Calibri"/>
                <w:b w:val="0"/>
                <w:color w:val="23232D"/>
                <w:sz w:val="17"/>
              </w:rPr>
              <w:t>Faible</w:t>
            </w:r>
          </w:p>
        </w:tc>
      </w:tr>
    </w:tbl>
    <w:p>
      <w:pPr>
        <w:spacing w:after="40"/>
      </w:pPr>
    </w:p>
    <w:p>
      <w:pPr>
        <w:pStyle w:val="Heading2"/>
      </w:pPr>
      <w:r>
        <w:t>5.3 Actions préventives et correctives</w:t>
      </w:r>
    </w:p>
    <w:p>
      <w:pPr>
        <w:spacing w:after="120"/>
        <w:jc w:val="both"/>
      </w:pPr>
      <w:r>
        <w:rPr>
          <w:b w:val="0"/>
          <w:i w:val="0"/>
          <w:color w:val="23232D"/>
          <w:sz w:val="21"/>
        </w:rPr>
        <w:t>Pour chaque risque, des actions préventives (réduire la probabilité) et correctives (limiter l'impact) sont définies, couvrant l'ensemble des risques critiques et majeurs identifiés.</w:t>
      </w:r>
    </w:p>
    <w:tbl>
      <w:tblPr>
        <w:tblStyle w:val="TableGrid"/>
        <w:tblW w:type="auto" w:w="0"/>
        <w:jc w:val="center"/>
        <w:tblLook w:firstColumn="1" w:firstRow="1" w:lastColumn="0" w:lastRow="0" w:noHBand="0" w:noVBand="1" w:val="04A0"/>
      </w:tblPr>
      <w:tblGrid>
        <w:gridCol w:w="2880"/>
        <w:gridCol w:w="2880"/>
        <w:gridCol w:w="2880"/>
      </w:tblGrid>
      <w:tr>
        <w:tc>
          <w:tcPr>
            <w:tcW w:type="dxa" w:w="720"/>
            <w:shd w:val="clear" w:fill="004682"/>
          </w:tcPr>
          <w:p>
            <w:pPr>
              <w:spacing w:after="20" w:before="20"/>
              <w:jc w:val="center"/>
            </w:pPr>
            <w:r/>
            <w:r>
              <w:rPr>
                <w:rFonts w:ascii="Calibri" w:hAnsi="Calibri"/>
                <w:b/>
                <w:color w:val="FFFFFF"/>
                <w:sz w:val="16"/>
              </w:rPr>
              <w:t>Réf.</w:t>
            </w:r>
          </w:p>
        </w:tc>
        <w:tc>
          <w:tcPr>
            <w:tcW w:type="dxa" w:w="4320"/>
            <w:shd w:val="clear" w:fill="004682"/>
          </w:tcPr>
          <w:p>
            <w:pPr>
              <w:spacing w:after="20" w:before="20"/>
              <w:jc w:val="center"/>
            </w:pPr>
            <w:r/>
            <w:r>
              <w:rPr>
                <w:rFonts w:ascii="Calibri" w:hAnsi="Calibri"/>
                <w:b/>
                <w:color w:val="FFFFFF"/>
                <w:sz w:val="16"/>
              </w:rPr>
              <w:t>Actions préventives</w:t>
            </w:r>
          </w:p>
        </w:tc>
        <w:tc>
          <w:tcPr>
            <w:tcW w:type="dxa" w:w="4320"/>
            <w:shd w:val="clear" w:fill="004682"/>
          </w:tcPr>
          <w:p>
            <w:pPr>
              <w:spacing w:after="20" w:before="20"/>
              <w:jc w:val="center"/>
            </w:pPr>
            <w:r/>
            <w:r>
              <w:rPr>
                <w:rFonts w:ascii="Calibri" w:hAnsi="Calibri"/>
                <w:b/>
                <w:color w:val="FFFFFF"/>
                <w:sz w:val="16"/>
              </w:rPr>
              <w:t>Actions correctives</w:t>
            </w:r>
          </w:p>
        </w:tc>
      </w:tr>
      <w:tr>
        <w:tc>
          <w:tcPr>
            <w:tcW w:type="dxa" w:w="720"/>
          </w:tcPr>
          <w:p>
            <w:pPr>
              <w:spacing w:after="20" w:before="20"/>
              <w:jc w:val="left"/>
            </w:pPr>
            <w:r/>
            <w:r>
              <w:rPr>
                <w:rFonts w:ascii="Calibri" w:hAnsi="Calibri"/>
                <w:b w:val="0"/>
                <w:color w:val="23232D"/>
                <w:sz w:val="16"/>
              </w:rPr>
              <w:t>R1</w:t>
            </w:r>
          </w:p>
        </w:tc>
        <w:tc>
          <w:tcPr>
            <w:tcW w:type="dxa" w:w="4320"/>
          </w:tcPr>
          <w:p>
            <w:pPr>
              <w:spacing w:after="20" w:before="20"/>
              <w:jc w:val="left"/>
            </w:pPr>
            <w:r/>
            <w:r>
              <w:rPr>
                <w:rFonts w:ascii="Calibri" w:hAnsi="Calibri"/>
                <w:b w:val="0"/>
                <w:color w:val="23232D"/>
                <w:sz w:val="16"/>
              </w:rPr>
              <w:t>Minimisation des données, chiffrement en transit, RBAC, audit des accès, hébergement UE/HDS</w:t>
            </w:r>
          </w:p>
        </w:tc>
        <w:tc>
          <w:tcPr>
            <w:tcW w:type="dxa" w:w="4320"/>
          </w:tcPr>
          <w:p>
            <w:pPr>
              <w:spacing w:after="20" w:before="20"/>
              <w:jc w:val="left"/>
            </w:pPr>
            <w:r/>
            <w:r>
              <w:rPr>
                <w:rFonts w:ascii="Calibri" w:hAnsi="Calibri"/>
                <w:b w:val="0"/>
                <w:color w:val="23232D"/>
                <w:sz w:val="16"/>
              </w:rPr>
              <w:t>Procédure de notification CNIL sous 72 h, isolation, révocation des accès, information des personnes</w:t>
            </w:r>
          </w:p>
        </w:tc>
      </w:tr>
      <w:tr>
        <w:tc>
          <w:tcPr>
            <w:tcW w:type="dxa" w:w="720"/>
            <w:shd w:val="clear" w:fill="F2F2F2"/>
          </w:tcPr>
          <w:p>
            <w:pPr>
              <w:spacing w:after="20" w:before="20"/>
              <w:jc w:val="left"/>
            </w:pPr>
            <w:r/>
            <w:r>
              <w:rPr>
                <w:rFonts w:ascii="Calibri" w:hAnsi="Calibri"/>
                <w:b w:val="0"/>
                <w:color w:val="23232D"/>
                <w:sz w:val="16"/>
              </w:rPr>
              <w:t>R7</w:t>
            </w:r>
          </w:p>
        </w:tc>
        <w:tc>
          <w:tcPr>
            <w:tcW w:type="dxa" w:w="4320"/>
            <w:shd w:val="clear" w:fill="F2F2F2"/>
          </w:tcPr>
          <w:p>
            <w:pPr>
              <w:spacing w:after="20" w:before="20"/>
              <w:jc w:val="left"/>
            </w:pPr>
            <w:r/>
            <w:r>
              <w:rPr>
                <w:rFonts w:ascii="Calibri" w:hAnsi="Calibri"/>
                <w:b w:val="0"/>
                <w:color w:val="23232D"/>
                <w:sz w:val="16"/>
              </w:rPr>
              <w:t>Chiffrement applicatif des champs sensibles (note), chiffrement du volume PostgreSQL</w:t>
            </w:r>
          </w:p>
        </w:tc>
        <w:tc>
          <w:tcPr>
            <w:tcW w:type="dxa" w:w="4320"/>
            <w:shd w:val="clear" w:fill="F2F2F2"/>
          </w:tcPr>
          <w:p>
            <w:pPr>
              <w:spacing w:after="20" w:before="20"/>
              <w:jc w:val="left"/>
            </w:pPr>
            <w:r/>
            <w:r>
              <w:rPr>
                <w:rFonts w:ascii="Calibri" w:hAnsi="Calibri"/>
                <w:b w:val="0"/>
                <w:color w:val="23232D"/>
                <w:sz w:val="16"/>
              </w:rPr>
              <w:t>Rotation des clés, restauration depuis sauvegarde chiffrée</w:t>
            </w:r>
          </w:p>
        </w:tc>
      </w:tr>
      <w:tr>
        <w:tc>
          <w:tcPr>
            <w:tcW w:type="dxa" w:w="720"/>
          </w:tcPr>
          <w:p>
            <w:pPr>
              <w:spacing w:after="20" w:before="20"/>
              <w:jc w:val="left"/>
            </w:pPr>
            <w:r/>
            <w:r>
              <w:rPr>
                <w:rFonts w:ascii="Calibri" w:hAnsi="Calibri"/>
                <w:b w:val="0"/>
                <w:color w:val="23232D"/>
                <w:sz w:val="16"/>
              </w:rPr>
              <w:t>R2</w:t>
            </w:r>
          </w:p>
        </w:tc>
        <w:tc>
          <w:tcPr>
            <w:tcW w:type="dxa" w:w="4320"/>
          </w:tcPr>
          <w:p>
            <w:pPr>
              <w:spacing w:after="20" w:before="20"/>
              <w:jc w:val="left"/>
            </w:pPr>
            <w:r/>
            <w:r>
              <w:rPr>
                <w:rFonts w:ascii="Calibri" w:hAnsi="Calibri"/>
                <w:b w:val="0"/>
                <w:color w:val="23232D"/>
                <w:sz w:val="16"/>
              </w:rPr>
              <w:t>Validation systématique (Form Requests), ORM paramétré, échappement des sorties</w:t>
            </w:r>
          </w:p>
        </w:tc>
        <w:tc>
          <w:tcPr>
            <w:tcW w:type="dxa" w:w="4320"/>
          </w:tcPr>
          <w:p>
            <w:pPr>
              <w:spacing w:after="20" w:before="20"/>
              <w:jc w:val="left"/>
            </w:pPr>
            <w:r/>
            <w:r>
              <w:rPr>
                <w:rFonts w:ascii="Calibri" w:hAnsi="Calibri"/>
                <w:b w:val="0"/>
                <w:color w:val="23232D"/>
                <w:sz w:val="16"/>
              </w:rPr>
              <w:t>Correctif prioritaire, revue de code, test de non-régression</w:t>
            </w:r>
          </w:p>
        </w:tc>
      </w:tr>
      <w:tr>
        <w:tc>
          <w:tcPr>
            <w:tcW w:type="dxa" w:w="720"/>
            <w:shd w:val="clear" w:fill="F2F2F2"/>
          </w:tcPr>
          <w:p>
            <w:pPr>
              <w:spacing w:after="20" w:before="20"/>
              <w:jc w:val="left"/>
            </w:pPr>
            <w:r/>
            <w:r>
              <w:rPr>
                <w:rFonts w:ascii="Calibri" w:hAnsi="Calibri"/>
                <w:b w:val="0"/>
                <w:color w:val="23232D"/>
                <w:sz w:val="16"/>
              </w:rPr>
              <w:t>R3</w:t>
            </w:r>
          </w:p>
        </w:tc>
        <w:tc>
          <w:tcPr>
            <w:tcW w:type="dxa" w:w="4320"/>
            <w:shd w:val="clear" w:fill="F2F2F2"/>
          </w:tcPr>
          <w:p>
            <w:pPr>
              <w:spacing w:after="20" w:before="20"/>
              <w:jc w:val="left"/>
            </w:pPr>
            <w:r/>
            <w:r>
              <w:rPr>
                <w:rFonts w:ascii="Calibri" w:hAnsi="Calibri"/>
                <w:b w:val="0"/>
                <w:color w:val="23232D"/>
                <w:sz w:val="16"/>
              </w:rPr>
              <w:t>MFA administrateur, mots de passe robustes, rate limiting, journalisation des actions</w:t>
            </w:r>
          </w:p>
        </w:tc>
        <w:tc>
          <w:tcPr>
            <w:tcW w:type="dxa" w:w="4320"/>
            <w:shd w:val="clear" w:fill="F2F2F2"/>
          </w:tcPr>
          <w:p>
            <w:pPr>
              <w:spacing w:after="20" w:before="20"/>
              <w:jc w:val="left"/>
            </w:pPr>
            <w:r/>
            <w:r>
              <w:rPr>
                <w:rFonts w:ascii="Calibri" w:hAnsi="Calibri"/>
                <w:b w:val="0"/>
                <w:color w:val="23232D"/>
                <w:sz w:val="16"/>
              </w:rPr>
              <w:t>Blacklist du token, réinitialisation, analyse de la piste d'audit</w:t>
            </w:r>
          </w:p>
        </w:tc>
      </w:tr>
      <w:tr>
        <w:tc>
          <w:tcPr>
            <w:tcW w:type="dxa" w:w="720"/>
          </w:tcPr>
          <w:p>
            <w:pPr>
              <w:spacing w:after="20" w:before="20"/>
              <w:jc w:val="left"/>
            </w:pPr>
            <w:r/>
            <w:r>
              <w:rPr>
                <w:rFonts w:ascii="Calibri" w:hAnsi="Calibri"/>
                <w:b w:val="0"/>
                <w:color w:val="23232D"/>
                <w:sz w:val="16"/>
              </w:rPr>
              <w:t>R6</w:t>
            </w:r>
          </w:p>
        </w:tc>
        <w:tc>
          <w:tcPr>
            <w:tcW w:type="dxa" w:w="4320"/>
          </w:tcPr>
          <w:p>
            <w:pPr>
              <w:spacing w:after="20" w:before="20"/>
              <w:jc w:val="left"/>
            </w:pPr>
            <w:r/>
            <w:r>
              <w:rPr>
                <w:rFonts w:ascii="Calibri" w:hAnsi="Calibri"/>
                <w:b w:val="0"/>
                <w:color w:val="23232D"/>
                <w:sz w:val="16"/>
              </w:rPr>
              <w:t>composer/npm audit en CI, robot de mise à jour, veille CVE</w:t>
            </w:r>
          </w:p>
        </w:tc>
        <w:tc>
          <w:tcPr>
            <w:tcW w:type="dxa" w:w="4320"/>
          </w:tcPr>
          <w:p>
            <w:pPr>
              <w:spacing w:after="20" w:before="20"/>
              <w:jc w:val="left"/>
            </w:pPr>
            <w:r/>
            <w:r>
              <w:rPr>
                <w:rFonts w:ascii="Calibri" w:hAnsi="Calibri"/>
                <w:b w:val="0"/>
                <w:color w:val="23232D"/>
                <w:sz w:val="16"/>
              </w:rPr>
              <w:t>Application du correctif, redéploiement automatisé</w:t>
            </w:r>
          </w:p>
        </w:tc>
      </w:tr>
      <w:tr>
        <w:tc>
          <w:tcPr>
            <w:tcW w:type="dxa" w:w="720"/>
            <w:shd w:val="clear" w:fill="F2F2F2"/>
          </w:tcPr>
          <w:p>
            <w:pPr>
              <w:spacing w:after="20" w:before="20"/>
              <w:jc w:val="left"/>
            </w:pPr>
            <w:r/>
            <w:r>
              <w:rPr>
                <w:rFonts w:ascii="Calibri" w:hAnsi="Calibri"/>
                <w:b w:val="0"/>
                <w:color w:val="23232D"/>
                <w:sz w:val="16"/>
              </w:rPr>
              <w:t>R4</w:t>
            </w:r>
          </w:p>
        </w:tc>
        <w:tc>
          <w:tcPr>
            <w:tcW w:type="dxa" w:w="4320"/>
            <w:shd w:val="clear" w:fill="F2F2F2"/>
          </w:tcPr>
          <w:p>
            <w:pPr>
              <w:spacing w:after="20" w:before="20"/>
              <w:jc w:val="left"/>
            </w:pPr>
            <w:r/>
            <w:r>
              <w:rPr>
                <w:rFonts w:ascii="Calibri" w:hAnsi="Calibri"/>
                <w:b w:val="0"/>
                <w:color w:val="23232D"/>
                <w:sz w:val="16"/>
              </w:rPr>
              <w:t>Reverse proxy, rate limiting, health checks + redémarrage auto</w:t>
            </w:r>
          </w:p>
        </w:tc>
        <w:tc>
          <w:tcPr>
            <w:tcW w:type="dxa" w:w="4320"/>
            <w:shd w:val="clear" w:fill="F2F2F2"/>
          </w:tcPr>
          <w:p>
            <w:pPr>
              <w:spacing w:after="20" w:before="20"/>
              <w:jc w:val="left"/>
            </w:pPr>
            <w:r/>
            <w:r>
              <w:rPr>
                <w:rFonts w:ascii="Calibri" w:hAnsi="Calibri"/>
                <w:b w:val="0"/>
                <w:color w:val="23232D"/>
                <w:sz w:val="16"/>
              </w:rPr>
              <w:t>Mise à l'échelle, activation d'une protection anti-DDoS (CDN/WAF)</w:t>
            </w:r>
          </w:p>
        </w:tc>
      </w:tr>
      <w:tr>
        <w:tc>
          <w:tcPr>
            <w:tcW w:type="dxa" w:w="720"/>
          </w:tcPr>
          <w:p>
            <w:pPr>
              <w:spacing w:after="20" w:before="20"/>
              <w:jc w:val="left"/>
            </w:pPr>
            <w:r/>
            <w:r>
              <w:rPr>
                <w:rFonts w:ascii="Calibri" w:hAnsi="Calibri"/>
                <w:b w:val="0"/>
                <w:color w:val="23232D"/>
                <w:sz w:val="16"/>
              </w:rPr>
              <w:t>R5</w:t>
            </w:r>
          </w:p>
        </w:tc>
        <w:tc>
          <w:tcPr>
            <w:tcW w:type="dxa" w:w="4320"/>
          </w:tcPr>
          <w:p>
            <w:pPr>
              <w:spacing w:after="20" w:before="20"/>
              <w:jc w:val="left"/>
            </w:pPr>
            <w:r/>
            <w:r>
              <w:rPr>
                <w:rFonts w:ascii="Calibri" w:hAnsi="Calibri"/>
                <w:b w:val="0"/>
                <w:color w:val="23232D"/>
                <w:sz w:val="16"/>
              </w:rPr>
              <w:t>Sauvegardes quotidiennes automatisées et testées, réplication du volume</w:t>
            </w:r>
          </w:p>
        </w:tc>
        <w:tc>
          <w:tcPr>
            <w:tcW w:type="dxa" w:w="4320"/>
          </w:tcPr>
          <w:p>
            <w:pPr>
              <w:spacing w:after="20" w:before="20"/>
              <w:jc w:val="left"/>
            </w:pPr>
            <w:r/>
            <w:r>
              <w:rPr>
                <w:rFonts w:ascii="Calibri" w:hAnsi="Calibri"/>
                <w:b w:val="0"/>
                <w:color w:val="23232D"/>
                <w:sz w:val="16"/>
              </w:rPr>
              <w:t>Restauration point-in-time, plan de reprise d'activité</w:t>
            </w:r>
          </w:p>
        </w:tc>
      </w:tr>
    </w:tbl>
    <w:p>
      <w:pPr>
        <w:spacing w:after="40"/>
      </w:pPr>
    </w:p>
    <w:p>
      <w:pPr>
        <w:pStyle w:val="Heading2"/>
      </w:pPr>
      <w:r>
        <w:t>5.4 Chiffrement et protection des échanges</w:t>
      </w:r>
    </w:p>
    <w:p>
      <w:pPr>
        <w:pStyle w:val="ListBullet"/>
        <w:spacing w:after="60"/>
      </w:pPr>
      <w:r>
        <w:rPr>
          <w:b/>
          <w:color w:val="23232D"/>
          <w:sz w:val="21"/>
        </w:rPr>
        <w:t xml:space="preserve">En transit — </w:t>
      </w:r>
      <w:r>
        <w:rPr>
          <w:color w:val="23232D"/>
          <w:sz w:val="21"/>
        </w:rPr>
        <w:t>l'ensemble des échanges entre les clients et l'API passe par HTTPS/TLS (terminaison au niveau du reverse proxy Coolify), interdisant l'interception en clair ;</w:t>
      </w:r>
    </w:p>
    <w:p>
      <w:pPr>
        <w:pStyle w:val="ListBullet"/>
        <w:spacing w:after="60"/>
      </w:pPr>
      <w:r>
        <w:rPr>
          <w:b/>
          <w:color w:val="23232D"/>
          <w:sz w:val="21"/>
        </w:rPr>
        <w:t xml:space="preserve">Au repos — </w:t>
      </w:r>
      <w:r>
        <w:rPr>
          <w:color w:val="23232D"/>
          <w:sz w:val="21"/>
        </w:rPr>
        <w:t>les mots de passe sont hachés avec bcrypt (coût 12) et ne sont jamais renvoyés ni journalisés ; la clé applicative (APP_KEY, AES-256) protège cookies et données chiffrées. Le chiffrement applicatif des notes de santé (champ le plus sensible) est planifié via le cast chiffré de Laravel ;</w:t>
      </w:r>
    </w:p>
    <w:p>
      <w:pPr>
        <w:pStyle w:val="ListBullet"/>
        <w:spacing w:after="60"/>
      </w:pPr>
      <w:r>
        <w:rPr>
          <w:b/>
          <w:color w:val="23232D"/>
          <w:sz w:val="21"/>
        </w:rPr>
        <w:t xml:space="preserve">Jetons — </w:t>
      </w:r>
      <w:r>
        <w:rPr>
          <w:color w:val="23232D"/>
          <w:sz w:val="21"/>
        </w:rPr>
        <w:t>l'authentification repose sur des jetons JWT signés (HS256), d'une durée de vie de 60 minutes, invalidés à la déconnexion (liste noire).</w:t>
      </w:r>
    </w:p>
    <w:p>
      <w:pPr>
        <w:pStyle w:val="Heading2"/>
      </w:pPr>
      <w:r>
        <w:t>5.5 Données personnelles et conformité RGPD</w:t>
      </w:r>
    </w:p>
    <w:p>
      <w:pPr>
        <w:spacing w:after="120"/>
        <w:jc w:val="both"/>
      </w:pPr>
      <w:r>
        <w:rPr>
          <w:b w:val="0"/>
          <w:i w:val="0"/>
          <w:color w:val="23232D"/>
          <w:sz w:val="21"/>
        </w:rPr>
        <w:t>Les données de santé mentale (émotions, intensité, notes) constituent des données sensibles (art. 9 RGPD). La conformité est prise en compte par conception :</w:t>
      </w:r>
    </w:p>
    <w:tbl>
      <w:tblPr>
        <w:tblStyle w:val="TableGrid"/>
        <w:tblW w:type="auto" w:w="0"/>
        <w:jc w:val="center"/>
        <w:tblLook w:firstColumn="1" w:firstRow="1" w:lastColumn="0" w:lastRow="0" w:noHBand="0" w:noVBand="1" w:val="04A0"/>
      </w:tblPr>
      <w:tblGrid>
        <w:gridCol w:w="4320"/>
        <w:gridCol w:w="4320"/>
      </w:tblGrid>
      <w:tr>
        <w:tc>
          <w:tcPr>
            <w:tcW w:type="dxa" w:w="3312"/>
            <w:shd w:val="clear" w:fill="004682"/>
          </w:tcPr>
          <w:p>
            <w:pPr>
              <w:spacing w:after="20" w:before="20"/>
              <w:jc w:val="center"/>
            </w:pPr>
            <w:r/>
            <w:r>
              <w:rPr>
                <w:rFonts w:ascii="Calibri" w:hAnsi="Calibri"/>
                <w:b/>
                <w:color w:val="FFFFFF"/>
                <w:sz w:val="18"/>
              </w:rPr>
              <w:t>Exigence RGPD</w:t>
            </w:r>
          </w:p>
        </w:tc>
        <w:tc>
          <w:tcPr>
            <w:tcW w:type="dxa" w:w="5904"/>
            <w:shd w:val="clear" w:fill="004682"/>
          </w:tcPr>
          <w:p>
            <w:pPr>
              <w:spacing w:after="20" w:before="20"/>
              <w:jc w:val="center"/>
            </w:pPr>
            <w:r/>
            <w:r>
              <w:rPr>
                <w:rFonts w:ascii="Calibri" w:hAnsi="Calibri"/>
                <w:b/>
                <w:color w:val="FFFFFF"/>
                <w:sz w:val="18"/>
              </w:rPr>
              <w:t>Mise en œuvre dans CESIZen</w:t>
            </w:r>
          </w:p>
        </w:tc>
      </w:tr>
      <w:tr>
        <w:tc>
          <w:tcPr>
            <w:tcW w:type="dxa" w:w="3312"/>
          </w:tcPr>
          <w:p>
            <w:pPr>
              <w:spacing w:after="20" w:before="20"/>
              <w:jc w:val="left"/>
            </w:pPr>
            <w:r/>
            <w:r>
              <w:rPr>
                <w:rFonts w:ascii="Calibri" w:hAnsi="Calibri"/>
                <w:b w:val="0"/>
                <w:color w:val="23232D"/>
                <w:sz w:val="18"/>
              </w:rPr>
              <w:t>Base légale / consentement</w:t>
            </w:r>
          </w:p>
        </w:tc>
        <w:tc>
          <w:tcPr>
            <w:tcW w:type="dxa" w:w="5904"/>
          </w:tcPr>
          <w:p>
            <w:pPr>
              <w:spacing w:after="20" w:before="20"/>
              <w:jc w:val="left"/>
            </w:pPr>
            <w:r/>
            <w:r>
              <w:rPr>
                <w:rFonts w:ascii="Calibri" w:hAnsi="Calibri"/>
                <w:b w:val="0"/>
                <w:color w:val="23232D"/>
                <w:sz w:val="18"/>
              </w:rPr>
              <w:t>Consentement explicite obligatoire à l'inscription (non pré-coché), tracé en base</w:t>
            </w:r>
          </w:p>
        </w:tc>
      </w:tr>
      <w:tr>
        <w:tc>
          <w:tcPr>
            <w:tcW w:type="dxa" w:w="3312"/>
            <w:shd w:val="clear" w:fill="F2F2F2"/>
          </w:tcPr>
          <w:p>
            <w:pPr>
              <w:spacing w:after="20" w:before="20"/>
              <w:jc w:val="left"/>
            </w:pPr>
            <w:r/>
            <w:r>
              <w:rPr>
                <w:rFonts w:ascii="Calibri" w:hAnsi="Calibri"/>
                <w:b w:val="0"/>
                <w:color w:val="23232D"/>
                <w:sz w:val="18"/>
              </w:rPr>
              <w:t>Minimisation</w:t>
            </w:r>
          </w:p>
        </w:tc>
        <w:tc>
          <w:tcPr>
            <w:tcW w:type="dxa" w:w="5904"/>
            <w:shd w:val="clear" w:fill="F2F2F2"/>
          </w:tcPr>
          <w:p>
            <w:pPr>
              <w:spacing w:after="20" w:before="20"/>
              <w:jc w:val="left"/>
            </w:pPr>
            <w:r/>
            <w:r>
              <w:rPr>
                <w:rFonts w:ascii="Calibri" w:hAnsi="Calibri"/>
                <w:b w:val="0"/>
                <w:color w:val="23232D"/>
                <w:sz w:val="18"/>
              </w:rPr>
              <w:t>Seules les données nécessaires au service sont collectées</w:t>
            </w:r>
          </w:p>
        </w:tc>
      </w:tr>
      <w:tr>
        <w:tc>
          <w:tcPr>
            <w:tcW w:type="dxa" w:w="3312"/>
          </w:tcPr>
          <w:p>
            <w:pPr>
              <w:spacing w:after="20" w:before="20"/>
              <w:jc w:val="left"/>
            </w:pPr>
            <w:r/>
            <w:r>
              <w:rPr>
                <w:rFonts w:ascii="Calibri" w:hAnsi="Calibri"/>
                <w:b w:val="0"/>
                <w:color w:val="23232D"/>
                <w:sz w:val="18"/>
              </w:rPr>
              <w:t>Droit d'accès et portabilité (art. 15/20)</w:t>
            </w:r>
          </w:p>
        </w:tc>
        <w:tc>
          <w:tcPr>
            <w:tcW w:type="dxa" w:w="5904"/>
          </w:tcPr>
          <w:p>
            <w:pPr>
              <w:spacing w:after="20" w:before="20"/>
              <w:jc w:val="left"/>
            </w:pPr>
            <w:r/>
            <w:r>
              <w:rPr>
                <w:rFonts w:ascii="Calibri" w:hAnsi="Calibri"/>
                <w:b w:val="0"/>
                <w:color w:val="23232D"/>
                <w:sz w:val="18"/>
              </w:rPr>
              <w:t>Export JSON téléchargeable de toutes les données de l'utilisateur</w:t>
            </w:r>
          </w:p>
        </w:tc>
      </w:tr>
      <w:tr>
        <w:tc>
          <w:tcPr>
            <w:tcW w:type="dxa" w:w="3312"/>
            <w:shd w:val="clear" w:fill="F2F2F2"/>
          </w:tcPr>
          <w:p>
            <w:pPr>
              <w:spacing w:after="20" w:before="20"/>
              <w:jc w:val="left"/>
            </w:pPr>
            <w:r/>
            <w:r>
              <w:rPr>
                <w:rFonts w:ascii="Calibri" w:hAnsi="Calibri"/>
                <w:b w:val="0"/>
                <w:color w:val="23232D"/>
                <w:sz w:val="18"/>
              </w:rPr>
              <w:t>Droit à l'effacement (art. 17)</w:t>
            </w:r>
          </w:p>
        </w:tc>
        <w:tc>
          <w:tcPr>
            <w:tcW w:type="dxa" w:w="5904"/>
            <w:shd w:val="clear" w:fill="F2F2F2"/>
          </w:tcPr>
          <w:p>
            <w:pPr>
              <w:spacing w:after="20" w:before="20"/>
              <w:jc w:val="left"/>
            </w:pPr>
            <w:r/>
            <w:r>
              <w:rPr>
                <w:rFonts w:ascii="Calibri" w:hAnsi="Calibri"/>
                <w:b w:val="0"/>
                <w:color w:val="23232D"/>
                <w:sz w:val="18"/>
              </w:rPr>
              <w:t>Anonymisation (dépersonnalisation des notes de santé) et suppression logique (soft delete)</w:t>
            </w:r>
          </w:p>
        </w:tc>
      </w:tr>
      <w:tr>
        <w:tc>
          <w:tcPr>
            <w:tcW w:type="dxa" w:w="3312"/>
          </w:tcPr>
          <w:p>
            <w:pPr>
              <w:spacing w:after="20" w:before="20"/>
              <w:jc w:val="left"/>
            </w:pPr>
            <w:r/>
            <w:r>
              <w:rPr>
                <w:rFonts w:ascii="Calibri" w:hAnsi="Calibri"/>
                <w:b w:val="0"/>
                <w:color w:val="23232D"/>
                <w:sz w:val="18"/>
              </w:rPr>
              <w:t>Traçabilité / responsabilité</w:t>
            </w:r>
          </w:p>
        </w:tc>
        <w:tc>
          <w:tcPr>
            <w:tcW w:type="dxa" w:w="5904"/>
          </w:tcPr>
          <w:p>
            <w:pPr>
              <w:spacing w:after="20" w:before="20"/>
              <w:jc w:val="left"/>
            </w:pPr>
            <w:r/>
            <w:r>
              <w:rPr>
                <w:rFonts w:ascii="Calibri" w:hAnsi="Calibri"/>
                <w:b w:val="0"/>
                <w:color w:val="23232D"/>
                <w:sz w:val="18"/>
              </w:rPr>
              <w:t>Piste d'audit immuable (action, IP, anciennes/nouvelles valeurs, hors mot de passe)</w:t>
            </w:r>
          </w:p>
        </w:tc>
      </w:tr>
      <w:tr>
        <w:tc>
          <w:tcPr>
            <w:tcW w:type="dxa" w:w="3312"/>
            <w:shd w:val="clear" w:fill="F2F2F2"/>
          </w:tcPr>
          <w:p>
            <w:pPr>
              <w:spacing w:after="20" w:before="20"/>
              <w:jc w:val="left"/>
            </w:pPr>
            <w:r/>
            <w:r>
              <w:rPr>
                <w:rFonts w:ascii="Calibri" w:hAnsi="Calibri"/>
                <w:b w:val="0"/>
                <w:color w:val="23232D"/>
                <w:sz w:val="18"/>
              </w:rPr>
              <w:t>Localisation</w:t>
            </w:r>
          </w:p>
        </w:tc>
        <w:tc>
          <w:tcPr>
            <w:tcW w:type="dxa" w:w="5904"/>
            <w:shd w:val="clear" w:fill="F2F2F2"/>
          </w:tcPr>
          <w:p>
            <w:pPr>
              <w:spacing w:after="20" w:before="20"/>
              <w:jc w:val="left"/>
            </w:pPr>
            <w:r/>
            <w:r>
              <w:rPr>
                <w:rFonts w:ascii="Calibri" w:hAnsi="Calibri"/>
                <w:b w:val="0"/>
                <w:color w:val="23232D"/>
                <w:sz w:val="18"/>
              </w:rPr>
              <w:t>Hébergement dans l'Union européenne, aucun transfert hors UE ; cible HDS pour la prod</w:t>
            </w:r>
          </w:p>
        </w:tc>
      </w:tr>
      <w:tr>
        <w:tc>
          <w:tcPr>
            <w:tcW w:type="dxa" w:w="3312"/>
          </w:tcPr>
          <w:p>
            <w:pPr>
              <w:spacing w:after="20" w:before="20"/>
              <w:jc w:val="left"/>
            </w:pPr>
            <w:r/>
            <w:r>
              <w:rPr>
                <w:rFonts w:ascii="Calibri" w:hAnsi="Calibri"/>
                <w:b w:val="0"/>
                <w:color w:val="23232D"/>
                <w:sz w:val="18"/>
              </w:rPr>
              <w:t>Sécurité (art. 32)</w:t>
            </w:r>
          </w:p>
        </w:tc>
        <w:tc>
          <w:tcPr>
            <w:tcW w:type="dxa" w:w="5904"/>
          </w:tcPr>
          <w:p>
            <w:pPr>
              <w:spacing w:after="20" w:before="20"/>
              <w:jc w:val="left"/>
            </w:pPr>
            <w:r/>
            <w:r>
              <w:rPr>
                <w:rFonts w:ascii="Calibri" w:hAnsi="Calibri"/>
                <w:b w:val="0"/>
                <w:color w:val="23232D"/>
                <w:sz w:val="18"/>
              </w:rPr>
              <w:t>Chiffrement en transit, hachage, contrôle d'accès, journalisation</w:t>
            </w:r>
          </w:p>
        </w:tc>
      </w:tr>
    </w:tbl>
    <w:p>
      <w:pPr>
        <w:spacing w:after="40"/>
      </w:pPr>
    </w:p>
    <w:p>
      <w:pPr>
        <w:pStyle w:val="Heading2"/>
      </w:pPr>
      <w:r>
        <w:t>5.6 Gestion de crise et escalade d'information</w:t>
      </w:r>
    </w:p>
    <w:p>
      <w:pPr>
        <w:spacing w:after="120"/>
        <w:jc w:val="both"/>
      </w:pPr>
      <w:r>
        <w:rPr>
          <w:b w:val="0"/>
          <w:i w:val="0"/>
          <w:color w:val="23232D"/>
          <w:sz w:val="21"/>
        </w:rPr>
        <w:t>En cas d'incident de sécurité avéré (intrusion, fuite de données, indisponibilité majeure), une procédure de gestion de crise organise la réaction et la remontée d'information selon des niveaux d'escalade définis.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872"/>
            <w:shd w:val="clear" w:fill="004682"/>
          </w:tcPr>
          <w:p>
            <w:pPr>
              <w:spacing w:after="20" w:before="20"/>
              <w:jc w:val="center"/>
            </w:pPr>
            <w:r/>
            <w:r>
              <w:rPr>
                <w:rFonts w:ascii="Calibri" w:hAnsi="Calibri"/>
                <w:b/>
                <w:color w:val="FFFFFF"/>
                <w:sz w:val="17"/>
              </w:rPr>
              <w:t>Niveau</w:t>
            </w:r>
          </w:p>
        </w:tc>
        <w:tc>
          <w:tcPr>
            <w:tcW w:type="dxa" w:w="2736"/>
            <w:shd w:val="clear" w:fill="004682"/>
          </w:tcPr>
          <w:p>
            <w:pPr>
              <w:spacing w:after="20" w:before="20"/>
              <w:jc w:val="center"/>
            </w:pPr>
            <w:r/>
            <w:r>
              <w:rPr>
                <w:rFonts w:ascii="Calibri" w:hAnsi="Calibri"/>
                <w:b/>
                <w:color w:val="FFFFFF"/>
                <w:sz w:val="17"/>
              </w:rPr>
              <w:t>Déclencheur</w:t>
            </w:r>
          </w:p>
        </w:tc>
        <w:tc>
          <w:tcPr>
            <w:tcW w:type="dxa" w:w="2016"/>
            <w:shd w:val="clear" w:fill="004682"/>
          </w:tcPr>
          <w:p>
            <w:pPr>
              <w:spacing w:after="20" w:before="20"/>
              <w:jc w:val="center"/>
            </w:pPr>
            <w:r/>
            <w:r>
              <w:rPr>
                <w:rFonts w:ascii="Calibri" w:hAnsi="Calibri"/>
                <w:b/>
                <w:color w:val="FFFFFF"/>
                <w:sz w:val="17"/>
              </w:rPr>
              <w:t>Responsable</w:t>
            </w:r>
          </w:p>
        </w:tc>
        <w:tc>
          <w:tcPr>
            <w:tcW w:type="dxa" w:w="2592"/>
            <w:shd w:val="clear" w:fill="004682"/>
          </w:tcPr>
          <w:p>
            <w:pPr>
              <w:spacing w:after="20" w:before="20"/>
              <w:jc w:val="center"/>
            </w:pPr>
            <w:r/>
            <w:r>
              <w:rPr>
                <w:rFonts w:ascii="Calibri" w:hAnsi="Calibri"/>
                <w:b/>
                <w:color w:val="FFFFFF"/>
                <w:sz w:val="17"/>
              </w:rPr>
              <w:t>Actions &amp; communication</w:t>
            </w:r>
          </w:p>
        </w:tc>
      </w:tr>
      <w:tr>
        <w:tc>
          <w:tcPr>
            <w:tcW w:type="dxa" w:w="1872"/>
          </w:tcPr>
          <w:p>
            <w:pPr>
              <w:spacing w:after="20" w:before="20"/>
              <w:jc w:val="left"/>
            </w:pPr>
            <w:r/>
            <w:r>
              <w:rPr>
                <w:rFonts w:ascii="Calibri" w:hAnsi="Calibri"/>
                <w:b w:val="0"/>
                <w:color w:val="23232D"/>
                <w:sz w:val="17"/>
              </w:rPr>
              <w:t>N1 — Détection</w:t>
            </w:r>
          </w:p>
        </w:tc>
        <w:tc>
          <w:tcPr>
            <w:tcW w:type="dxa" w:w="2736"/>
          </w:tcPr>
          <w:p>
            <w:pPr>
              <w:spacing w:after="20" w:before="20"/>
              <w:jc w:val="left"/>
            </w:pPr>
            <w:r/>
            <w:r>
              <w:rPr>
                <w:rFonts w:ascii="Calibri" w:hAnsi="Calibri"/>
                <w:b w:val="0"/>
                <w:color w:val="23232D"/>
                <w:sz w:val="17"/>
              </w:rPr>
              <w:t>Alerte supervision / signalement</w:t>
            </w:r>
          </w:p>
        </w:tc>
        <w:tc>
          <w:tcPr>
            <w:tcW w:type="dxa" w:w="2016"/>
          </w:tcPr>
          <w:p>
            <w:pPr>
              <w:spacing w:after="20" w:before="20"/>
              <w:jc w:val="left"/>
            </w:pPr>
            <w:r/>
            <w:r>
              <w:rPr>
                <w:rFonts w:ascii="Calibri" w:hAnsi="Calibri"/>
                <w:b w:val="0"/>
                <w:color w:val="23232D"/>
                <w:sz w:val="17"/>
              </w:rPr>
              <w:t>Astreinte technique</w:t>
            </w:r>
          </w:p>
        </w:tc>
        <w:tc>
          <w:tcPr>
            <w:tcW w:type="dxa" w:w="2592"/>
          </w:tcPr>
          <w:p>
            <w:pPr>
              <w:spacing w:after="20" w:before="20"/>
              <w:jc w:val="left"/>
            </w:pPr>
            <w:r/>
            <w:r>
              <w:rPr>
                <w:rFonts w:ascii="Calibri" w:hAnsi="Calibri"/>
                <w:b w:val="0"/>
                <w:color w:val="23232D"/>
                <w:sz w:val="17"/>
              </w:rPr>
              <w:t>Qualifier, ouvrir un ticket incident de sécurité, contenir</w:t>
            </w:r>
          </w:p>
        </w:tc>
      </w:tr>
      <w:tr>
        <w:tc>
          <w:tcPr>
            <w:tcW w:type="dxa" w:w="1872"/>
            <w:shd w:val="clear" w:fill="F2F2F2"/>
          </w:tcPr>
          <w:p>
            <w:pPr>
              <w:spacing w:after="20" w:before="20"/>
              <w:jc w:val="left"/>
            </w:pPr>
            <w:r/>
            <w:r>
              <w:rPr>
                <w:rFonts w:ascii="Calibri" w:hAnsi="Calibri"/>
                <w:b w:val="0"/>
                <w:color w:val="23232D"/>
                <w:sz w:val="17"/>
              </w:rPr>
              <w:t>N2 — Confirmation</w:t>
            </w:r>
          </w:p>
        </w:tc>
        <w:tc>
          <w:tcPr>
            <w:tcW w:type="dxa" w:w="2736"/>
            <w:shd w:val="clear" w:fill="F2F2F2"/>
          </w:tcPr>
          <w:p>
            <w:pPr>
              <w:spacing w:after="20" w:before="20"/>
              <w:jc w:val="left"/>
            </w:pPr>
            <w:r/>
            <w:r>
              <w:rPr>
                <w:rFonts w:ascii="Calibri" w:hAnsi="Calibri"/>
                <w:b w:val="0"/>
                <w:color w:val="23232D"/>
                <w:sz w:val="17"/>
              </w:rPr>
              <w:t>Incident de sécurité confirmé</w:t>
            </w:r>
          </w:p>
        </w:tc>
        <w:tc>
          <w:tcPr>
            <w:tcW w:type="dxa" w:w="2016"/>
            <w:shd w:val="clear" w:fill="F2F2F2"/>
          </w:tcPr>
          <w:p>
            <w:pPr>
              <w:spacing w:after="20" w:before="20"/>
              <w:jc w:val="left"/>
            </w:pPr>
            <w:r/>
            <w:r>
              <w:rPr>
                <w:rFonts w:ascii="Calibri" w:hAnsi="Calibri"/>
                <w:b w:val="0"/>
                <w:color w:val="23232D"/>
                <w:sz w:val="17"/>
              </w:rPr>
              <w:t>Responsable technique</w:t>
            </w:r>
          </w:p>
        </w:tc>
        <w:tc>
          <w:tcPr>
            <w:tcW w:type="dxa" w:w="2592"/>
            <w:shd w:val="clear" w:fill="F2F2F2"/>
          </w:tcPr>
          <w:p>
            <w:pPr>
              <w:spacing w:after="20" w:before="20"/>
              <w:jc w:val="left"/>
            </w:pPr>
            <w:r/>
            <w:r>
              <w:rPr>
                <w:rFonts w:ascii="Calibri" w:hAnsi="Calibri"/>
                <w:b w:val="0"/>
                <w:color w:val="23232D"/>
                <w:sz w:val="17"/>
              </w:rPr>
              <w:t>Isoler, préserver les preuves (logs), évaluer l'impact</w:t>
            </w:r>
          </w:p>
        </w:tc>
      </w:tr>
      <w:tr>
        <w:tc>
          <w:tcPr>
            <w:tcW w:type="dxa" w:w="1872"/>
          </w:tcPr>
          <w:p>
            <w:pPr>
              <w:spacing w:after="20" w:before="20"/>
              <w:jc w:val="left"/>
            </w:pPr>
            <w:r/>
            <w:r>
              <w:rPr>
                <w:rFonts w:ascii="Calibri" w:hAnsi="Calibri"/>
                <w:b w:val="0"/>
                <w:color w:val="23232D"/>
                <w:sz w:val="17"/>
              </w:rPr>
              <w:t>N3 — Crise</w:t>
            </w:r>
          </w:p>
        </w:tc>
        <w:tc>
          <w:tcPr>
            <w:tcW w:type="dxa" w:w="2736"/>
          </w:tcPr>
          <w:p>
            <w:pPr>
              <w:spacing w:after="20" w:before="20"/>
              <w:jc w:val="left"/>
            </w:pPr>
            <w:r/>
            <w:r>
              <w:rPr>
                <w:rFonts w:ascii="Calibri" w:hAnsi="Calibri"/>
                <w:b w:val="0"/>
                <w:color w:val="23232D"/>
                <w:sz w:val="17"/>
              </w:rPr>
              <w:t>Fuite de données personnelles avérée</w:t>
            </w:r>
          </w:p>
        </w:tc>
        <w:tc>
          <w:tcPr>
            <w:tcW w:type="dxa" w:w="2016"/>
          </w:tcPr>
          <w:p>
            <w:pPr>
              <w:spacing w:after="20" w:before="20"/>
              <w:jc w:val="left"/>
            </w:pPr>
            <w:r/>
            <w:r>
              <w:rPr>
                <w:rFonts w:ascii="Calibri" w:hAnsi="Calibri"/>
                <w:b w:val="0"/>
                <w:color w:val="23232D"/>
                <w:sz w:val="17"/>
              </w:rPr>
              <w:t>Chef de projet + DPO</w:t>
            </w:r>
          </w:p>
        </w:tc>
        <w:tc>
          <w:tcPr>
            <w:tcW w:type="dxa" w:w="2592"/>
          </w:tcPr>
          <w:p>
            <w:pPr>
              <w:spacing w:after="20" w:before="20"/>
              <w:jc w:val="left"/>
            </w:pPr>
            <w:r/>
            <w:r>
              <w:rPr>
                <w:rFonts w:ascii="Calibri" w:hAnsi="Calibri"/>
                <w:b w:val="0"/>
                <w:color w:val="23232D"/>
                <w:sz w:val="17"/>
              </w:rPr>
              <w:t>Notification CNIL sous 72 h, information des personnes concernées</w:t>
            </w:r>
          </w:p>
        </w:tc>
      </w:tr>
      <w:tr>
        <w:tc>
          <w:tcPr>
            <w:tcW w:type="dxa" w:w="1872"/>
            <w:shd w:val="clear" w:fill="F2F2F2"/>
          </w:tcPr>
          <w:p>
            <w:pPr>
              <w:spacing w:after="20" w:before="20"/>
              <w:jc w:val="left"/>
            </w:pPr>
            <w:r/>
            <w:r>
              <w:rPr>
                <w:rFonts w:ascii="Calibri" w:hAnsi="Calibri"/>
                <w:b w:val="0"/>
                <w:color w:val="23232D"/>
                <w:sz w:val="17"/>
              </w:rPr>
              <w:t>N4 — Direction</w:t>
            </w:r>
          </w:p>
        </w:tc>
        <w:tc>
          <w:tcPr>
            <w:tcW w:type="dxa" w:w="2736"/>
            <w:shd w:val="clear" w:fill="F2F2F2"/>
          </w:tcPr>
          <w:p>
            <w:pPr>
              <w:spacing w:after="20" w:before="20"/>
              <w:jc w:val="left"/>
            </w:pPr>
            <w:r/>
            <w:r>
              <w:rPr>
                <w:rFonts w:ascii="Calibri" w:hAnsi="Calibri"/>
                <w:b w:val="0"/>
                <w:color w:val="23232D"/>
                <w:sz w:val="17"/>
              </w:rPr>
              <w:t>Impact majeur / médiatique</w:t>
            </w:r>
          </w:p>
        </w:tc>
        <w:tc>
          <w:tcPr>
            <w:tcW w:type="dxa" w:w="2016"/>
            <w:shd w:val="clear" w:fill="F2F2F2"/>
          </w:tcPr>
          <w:p>
            <w:pPr>
              <w:spacing w:after="20" w:before="20"/>
              <w:jc w:val="left"/>
            </w:pPr>
            <w:r/>
            <w:r>
              <w:rPr>
                <w:rFonts w:ascii="Calibri" w:hAnsi="Calibri"/>
                <w:b w:val="0"/>
                <w:color w:val="23232D"/>
                <w:sz w:val="17"/>
              </w:rPr>
              <w:t>Direction + Ministère</w:t>
            </w:r>
          </w:p>
        </w:tc>
        <w:tc>
          <w:tcPr>
            <w:tcW w:type="dxa" w:w="2592"/>
            <w:shd w:val="clear" w:fill="F2F2F2"/>
          </w:tcPr>
          <w:p>
            <w:pPr>
              <w:spacing w:after="20" w:before="20"/>
              <w:jc w:val="left"/>
            </w:pPr>
            <w:r/>
            <w:r>
              <w:rPr>
                <w:rFonts w:ascii="Calibri" w:hAnsi="Calibri"/>
                <w:b w:val="0"/>
                <w:color w:val="23232D"/>
                <w:sz w:val="17"/>
              </w:rPr>
              <w:t>Communication officielle, coordination ANSSI si nécessaire</w:t>
            </w:r>
          </w:p>
        </w:tc>
      </w:tr>
    </w:tbl>
    <w:p>
      <w:pPr>
        <w:spacing w:after="40"/>
      </w:pPr>
    </w:p>
    <w:p>
      <w:pPr>
        <w:spacing w:after="120"/>
        <w:jc w:val="both"/>
      </w:pPr>
      <w:r>
        <w:rPr>
          <w:b w:val="0"/>
          <w:i w:val="0"/>
          <w:color w:val="23232D"/>
          <w:sz w:val="21"/>
        </w:rPr>
        <w:t>La communication distingue la remontée interne (technique → chef de projet → direction) et la communication externe (personnes concernées, CNIL sous 72 h conformément à l'art. 33 RGPD, éventuellement ANSSI). Chaque crise donne lieu à un retour d'expérience et à des actions préventives pour éviter la récurrence.</w:t>
      </w:r>
    </w:p>
    <w:p>
      <w:r>
        <w:br w:type="page"/>
      </w:r>
    </w:p>
    <w:p>
      <w:pPr>
        <w:pStyle w:val="Heading1"/>
      </w:pPr>
      <w:r>
        <w:t>6. Bonnes pratiques de développement</w:t>
      </w:r>
    </w:p>
    <w:p>
      <w:pPr>
        <w:spacing w:after="120"/>
        <w:jc w:val="both"/>
      </w:pPr>
      <w:r>
        <w:rPr>
          <w:b w:val="0"/>
          <w:i w:val="0"/>
          <w:color w:val="23232D"/>
          <w:sz w:val="21"/>
        </w:rPr>
        <w:t>La maintenabilité et la sécurité de l'application reposent sur des pratiques de développement structurées, appliquées tout au long du projet :</w:t>
      </w:r>
    </w:p>
    <w:p>
      <w:pPr>
        <w:pStyle w:val="ListBullet"/>
        <w:spacing w:after="60"/>
      </w:pPr>
      <w:r>
        <w:rPr>
          <w:b/>
          <w:color w:val="23232D"/>
          <w:sz w:val="21"/>
        </w:rPr>
        <w:t xml:space="preserve">Structure du code — </w:t>
      </w:r>
      <w:r>
        <w:rPr>
          <w:color w:val="23232D"/>
          <w:sz w:val="21"/>
        </w:rPr>
        <w:t>architecture MVC côté back-end (Modèles, Contrôleurs fins, Form Requests de validation, couche Service pour les rapports) ; App Router, hooks personnalisés et store côté front.</w:t>
      </w:r>
    </w:p>
    <w:p>
      <w:pPr>
        <w:pStyle w:val="ListBullet"/>
        <w:spacing w:after="60"/>
      </w:pPr>
      <w:r>
        <w:rPr>
          <w:b/>
          <w:color w:val="23232D"/>
          <w:sz w:val="21"/>
        </w:rPr>
        <w:t xml:space="preserve">Normes et style — </w:t>
      </w:r>
      <w:r>
        <w:rPr>
          <w:color w:val="23232D"/>
          <w:sz w:val="21"/>
        </w:rPr>
        <w:t>respect du PSR-12 vérifié par Laravel Pint ; TypeScript strict et ESLint côté web et mobile ; contrôles intégrés à la CI.</w:t>
      </w:r>
    </w:p>
    <w:p>
      <w:pPr>
        <w:pStyle w:val="ListBullet"/>
        <w:spacing w:after="60"/>
      </w:pPr>
      <w:r>
        <w:rPr>
          <w:b/>
          <w:color w:val="23232D"/>
          <w:sz w:val="21"/>
        </w:rPr>
        <w:t xml:space="preserve">Tests — </w:t>
      </w:r>
      <w:r>
        <w:rPr>
          <w:color w:val="23232D"/>
          <w:sz w:val="21"/>
        </w:rPr>
        <w:t>29 tests automatisés sur les trois couches (PHPUnit, Vitest, Jest), exécutés à chaque push, empêchant toute régression de partir en production.</w:t>
      </w:r>
    </w:p>
    <w:p>
      <w:pPr>
        <w:pStyle w:val="ListBullet"/>
        <w:spacing w:after="60"/>
      </w:pPr>
      <w:r>
        <w:rPr>
          <w:b/>
          <w:color w:val="23232D"/>
          <w:sz w:val="21"/>
        </w:rPr>
        <w:t xml:space="preserve">Gestion de versions — </w:t>
      </w:r>
      <w:r>
        <w:rPr>
          <w:color w:val="23232D"/>
          <w:sz w:val="21"/>
        </w:rPr>
        <w:t>Conventional Commits, revue systématique par pull request, historique lisible.</w:t>
      </w:r>
    </w:p>
    <w:p>
      <w:pPr>
        <w:pStyle w:val="ListBullet"/>
        <w:spacing w:after="60"/>
      </w:pPr>
      <w:r>
        <w:rPr>
          <w:b/>
          <w:color w:val="23232D"/>
          <w:sz w:val="21"/>
        </w:rPr>
        <w:t xml:space="preserve">Documentation — </w:t>
      </w:r>
      <w:r>
        <w:rPr>
          <w:color w:val="23232D"/>
          <w:sz w:val="21"/>
        </w:rPr>
        <w:t>README, guide de lancement, documentation d'API commentée et guide de migration/outillage (MIGRATION_GITEA.md).</w:t>
      </w:r>
    </w:p>
    <w:p>
      <w:pPr>
        <w:pStyle w:val="Heading1"/>
      </w:pPr>
      <w:r>
        <w:t>7. Conclusion</w:t>
      </w:r>
    </w:p>
    <w:p>
      <w:pPr>
        <w:spacing w:after="120"/>
        <w:jc w:val="both"/>
      </w:pPr>
      <w:r>
        <w:rPr>
          <w:b w:val="0"/>
          <w:i w:val="0"/>
          <w:color w:val="23232D"/>
          <w:sz w:val="21"/>
        </w:rPr>
        <w:t>Le projet CESIZen dispose d'une chaîne de déploiement complète et outillée : trois environnements clairement séparés, un versioning souverain sous Gitea, une intégration continue exécutant 29 tests à chaque modification et un déploiement continu automatisé vers une production réellement en ligne et sécurisée par HTTPS. La maintenance est cadrée par un outil de ticketing configuré, des engagements de service précis et une veille technologique méthodique. La sécurisation, enfin, repose sur une analyse de risques hiérarchisée, des mesures déjà implémentées (authentification JWT, RBAC, audit, RGPD) et un plan d'actions correctives et préventives, complété par une procédure de gestion de crise. L'application est ainsi prête à être exploitée et à évoluer dans la durée au service de la santé mentale du grand public.</w:t>
      </w:r>
    </w:p>
    <w:sectPr w:rsidR="00FC693F" w:rsidRPr="0006063C" w:rsidSect="00034616">
      <w:footerReference w:type="defaul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CESIZen · Bloc INFCDAAL3 — Déployer et sécuriser les applications informatiques · Adam Marzuk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2323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b/>
      <w:bCs/>
      <w:color w:val="004682"/>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049641"/>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00468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