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Pr>
        <w:jc w:val="center"/>
      </w:pPr>
      <w:r>
        <w:drawing>
          <wp:inline xmlns:a="http://schemas.openxmlformats.org/drawingml/2006/main" xmlns:pic="http://schemas.openxmlformats.org/drawingml/2006/picture">
            <wp:extent cx="2520000" cy="995928"/>
            <wp:docPr id="1" name="Picture 1"/>
            <wp:cNvGraphicFramePr>
              <a:graphicFrameLocks noChangeAspect="1"/>
            </wp:cNvGraphicFramePr>
            <a:graphic>
              <a:graphicData uri="http://schemas.openxmlformats.org/drawingml/2006/picture">
                <pic:pic>
                  <pic:nvPicPr>
                    <pic:cNvPr id="0" name="image1.png"/>
                    <pic:cNvPicPr/>
                  </pic:nvPicPr>
                  <pic:blipFill>
                    <a:blip r:embed="rId11"/>
                    <a:stretch>
                      <a:fillRect/>
                    </a:stretch>
                  </pic:blipFill>
                  <pic:spPr>
                    <a:xfrm>
                      <a:off x="0" y="0"/>
                      <a:ext cx="2520000" cy="995928"/>
                    </a:xfrm>
                    <a:prstGeom prst="rect"/>
                  </pic:spPr>
                </pic:pic>
              </a:graphicData>
            </a:graphic>
          </wp:inline>
        </w:drawing>
      </w:r>
    </w:p>
    <w:p/>
    <w:p>
      <w:pPr>
        <w:jc w:val="center"/>
      </w:pPr>
      <w:r>
        <w:rPr>
          <w:b w:val="0"/>
          <w:i w:val="0"/>
          <w:color w:val="E65100"/>
          <w:sz w:val="32"/>
        </w:rPr>
        <w:t>L'Application de votre Santé Mentale</w:t>
      </w:r>
    </w:p>
    <w:p>
      <w:pPr>
        <w:jc w:val="center"/>
      </w:pPr>
      <w:r>
        <w:rPr>
          <w:b/>
          <w:i w:val="0"/>
          <w:color w:val="0F4761"/>
          <w:sz w:val="52"/>
        </w:rPr>
        <w:t>DOSSIER DE DÉPLOIEMENT</w:t>
        <w:br/>
        <w:t>ET DE SÉCURISATION</w:t>
      </w:r>
    </w:p>
    <w:p>
      <w:pPr>
        <w:jc w:val="center"/>
      </w:pPr>
      <w:r>
        <w:rPr>
          <w:b w:val="0"/>
          <w:i w:val="0"/>
          <w:color w:val="595959"/>
          <w:sz w:val="24"/>
        </w:rPr>
        <w:t>BLOC 3 – Déployer et sécuriser les applications informatiques</w:t>
      </w:r>
    </w:p>
    <w:p>
      <w:pPr>
        <w:jc w:val="center"/>
      </w:pPr>
      <w:r>
        <w:rPr>
          <w:b w:val="0"/>
          <w:i w:val="0"/>
          <w:color w:val="595959"/>
          <w:sz w:val="22"/>
        </w:rPr>
        <w:t>Référentiel de compétences : INFCDAAL3</w:t>
      </w:r>
    </w:p>
    <w:p/>
    <w:p/>
    <w:p/>
    <w:p/>
    <w:p/>
    <w:p/>
    <w:p>
      <w:pPr>
        <w:jc w:val="center"/>
      </w:pPr>
      <w:r>
        <w:rPr>
          <w:b/>
          <w:i w:val="0"/>
          <w:sz w:val="24"/>
        </w:rPr>
        <w:t>Projet (RE)Sources Relationnelles</w:t>
      </w:r>
    </w:p>
    <w:p>
      <w:pPr>
        <w:jc w:val="center"/>
      </w:pPr>
      <w:r>
        <w:rPr>
          <w:b w:val="0"/>
          <w:i w:val="0"/>
          <w:sz w:val="22"/>
        </w:rPr>
        <w:t>Auteur : Sam DEPARDIEU</w:t>
      </w:r>
    </w:p>
    <w:p>
      <w:pPr>
        <w:jc w:val="center"/>
      </w:pPr>
      <w:r>
        <w:rPr>
          <w:b w:val="0"/>
          <w:i w:val="0"/>
          <w:sz w:val="22"/>
        </w:rPr>
        <w:t>Concepteur Développeur d'Applications – CESI</w:t>
      </w:r>
    </w:p>
    <w:p>
      <w:pPr>
        <w:jc w:val="center"/>
      </w:pPr>
      <w:r>
        <w:rPr>
          <w:b w:val="0"/>
          <w:i w:val="0"/>
          <w:color w:val="595959"/>
          <w:sz w:val="20"/>
        </w:rPr>
        <w:t>Version 1.0 – Juillet 2026</w:t>
      </w:r>
    </w:p>
    <w:p>
      <w:r>
        <w:br w:type="page"/>
      </w:r>
    </w:p>
    <w:p>
      <w:pPr>
        <w:pStyle w:val="Heading1"/>
      </w:pPr>
      <w:r>
        <w:t>Sommaire</w:t>
      </w:r>
    </w:p>
    <w:p>
      <w:r>
        <w:fldChar w:fldCharType="begin"/>
        <w:instrText xml:space="preserve">TOC \o "1-3" \h \z \u</w:instrText>
        <w:fldChar w:fldCharType="separate"/>
        <w:t>Faites Ctrl+clic puis « Mettre à jour les champs » pour générer le sommaire.</w:t>
        <w:fldChar w:fldCharType="end"/>
      </w:r>
    </w:p>
    <w:p>
      <w:r>
        <w:br w:type="page"/>
      </w:r>
    </w:p>
    <w:p>
      <w:pPr>
        <w:pStyle w:val="Heading1"/>
      </w:pPr>
      <w:r>
        <w:t>1. Introduction</w:t>
      </w:r>
    </w:p>
    <w:p>
      <w:r>
        <w:rPr>
          <w:b w:val="0"/>
          <w:i w:val="0"/>
        </w:rPr>
        <w:t>Ce dossier constitue le livrable du bloc de compétences INFCDAAL3 « Déployer et sécuriser les applications informatiques ». Il s'inscrit dans la continuité du projet CESIZen, plateforme de bien-être mental développée dans le cadre du projet (RE)Sources Relationnelles, dont la conception et le développement ont été réalisés au cours du bloc précédent (INFCDAAL2).</w:t>
      </w:r>
    </w:p>
    <w:p>
      <w:r>
        <w:rPr>
          <w:b w:val="0"/>
          <w:i w:val="0"/>
        </w:rPr>
        <w:t>L'objectif n'est plus ici de développer l'application, mais de décrire et de mettre en œuvre l'ensemble des dispositifs permettant de la déployer de manière fiable et automatisée, d'en assurer la maintenance et les évolutions, et de garantir la sécurité des données manipulées – des données à caractère personnel relevant du RGPD.</w:t>
      </w:r>
    </w:p>
    <w:p>
      <w:r>
        <w:rPr>
          <w:b w:val="0"/>
          <w:i w:val="0"/>
        </w:rPr>
        <w:t>Le présent document est structuré autour de quatre axes correspondant aux livrables attendus :</w:t>
      </w:r>
    </w:p>
    <w:p>
      <w:pPr>
        <w:pStyle w:val="ListBullet"/>
      </w:pPr>
      <w:r>
        <w:t>l'outil de gestion de version choisi et mis en place ;</w:t>
      </w:r>
    </w:p>
    <w:p>
      <w:pPr>
        <w:pStyle w:val="ListBullet"/>
      </w:pPr>
      <w:r>
        <w:t>l'outil de gestion des demandes d'évolutions et de la maintenance ;</w:t>
      </w:r>
    </w:p>
    <w:p>
      <w:pPr>
        <w:pStyle w:val="ListBullet"/>
      </w:pPr>
      <w:r>
        <w:t>le plan de déploiement de l'application (étapes, ressources, automatisation, intégration continue) ;</w:t>
      </w:r>
    </w:p>
    <w:p>
      <w:pPr>
        <w:pStyle w:val="ListBullet"/>
      </w:pPr>
      <w:r>
        <w:t>le plan de sécurisation (prévention des risques, chiffrement, conformité RGPD).</w:t>
      </w:r>
    </w:p>
    <w:p>
      <w:pPr>
        <w:pStyle w:val="Heading2"/>
      </w:pPr>
      <w:r>
        <w:t>1.1 Rappel de l'architecture applicative</w:t>
      </w:r>
    </w:p>
    <w:p>
      <w:r>
        <w:rPr>
          <w:b w:val="0"/>
          <w:i w:val="0"/>
        </w:rPr>
        <w:t>CESIZen est un écosystème composé de trois applications partageant une même API :</w:t>
      </w:r>
    </w:p>
    <w:tbl>
      <w:tblPr>
        <w:tblW w:type="auto" w:w="0"/>
        <w:jc w:val="center"/>
        <w:tblLook w:firstColumn="1" w:firstRow="1" w:lastColumn="0" w:lastRow="0" w:noHBand="0" w:noVBand="1" w:val="04A0"/>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Grid>
        <w:gridCol w:w="2880"/>
        <w:gridCol w:w="2880"/>
        <w:gridCol w:w="2880"/>
      </w:tblGrid>
      <w:tr>
        <w:tc>
          <w:tcPr>
            <w:tcW w:type="dxa" w:w="2268"/>
            <w:shd w:val="clear" w:fill="0F4761"/>
          </w:tcPr>
          <w:p>
            <w:r>
              <w:rPr>
                <w:b/>
                <w:color w:val="FFFFFF"/>
                <w:sz w:val="18"/>
              </w:rPr>
              <w:t>Composant</w:t>
            </w:r>
          </w:p>
        </w:tc>
        <w:tc>
          <w:tcPr>
            <w:tcW w:type="dxa" w:w="2551"/>
            <w:shd w:val="clear" w:fill="0F4761"/>
          </w:tcPr>
          <w:p>
            <w:r>
              <w:rPr>
                <w:b/>
                <w:color w:val="FFFFFF"/>
                <w:sz w:val="18"/>
              </w:rPr>
              <w:t>Technologie</w:t>
            </w:r>
          </w:p>
        </w:tc>
        <w:tc>
          <w:tcPr>
            <w:tcW w:type="dxa" w:w="3969"/>
            <w:shd w:val="clear" w:fill="0F4761"/>
          </w:tcPr>
          <w:p>
            <w:r>
              <w:rPr>
                <w:b/>
                <w:color w:val="FFFFFF"/>
                <w:sz w:val="18"/>
              </w:rPr>
              <w:t>Rôle</w:t>
            </w:r>
          </w:p>
        </w:tc>
      </w:tr>
      <w:tr>
        <w:tc>
          <w:tcPr>
            <w:tcW w:type="dxa" w:w="2268"/>
          </w:tcPr>
          <w:p>
            <w:r>
              <w:rPr>
                <w:sz w:val="18"/>
              </w:rPr>
              <w:t>Application Web</w:t>
            </w:r>
          </w:p>
        </w:tc>
        <w:tc>
          <w:tcPr>
            <w:tcW w:type="dxa" w:w="2551"/>
          </w:tcPr>
          <w:p>
            <w:r>
              <w:rPr>
                <w:sz w:val="18"/>
              </w:rPr>
              <w:t>Laravel 12 + Filament 3</w:t>
            </w:r>
          </w:p>
        </w:tc>
        <w:tc>
          <w:tcPr>
            <w:tcW w:type="dxa" w:w="3969"/>
          </w:tcPr>
          <w:p>
            <w:r>
              <w:rPr>
                <w:sz w:val="18"/>
              </w:rPr>
              <w:t>Front-Office citoyen + Back-Office administrateur</w:t>
            </w:r>
          </w:p>
        </w:tc>
      </w:tr>
      <w:tr>
        <w:tc>
          <w:tcPr>
            <w:tcW w:type="dxa" w:w="2268"/>
          </w:tcPr>
          <w:p>
            <w:r>
              <w:rPr>
                <w:sz w:val="18"/>
              </w:rPr>
              <w:t>API REST</w:t>
            </w:r>
          </w:p>
        </w:tc>
        <w:tc>
          <w:tcPr>
            <w:tcW w:type="dxa" w:w="2551"/>
          </w:tcPr>
          <w:p>
            <w:r>
              <w:rPr>
                <w:sz w:val="18"/>
              </w:rPr>
              <w:t>Laravel Sanctum</w:t>
            </w:r>
          </w:p>
        </w:tc>
        <w:tc>
          <w:tcPr>
            <w:tcW w:type="dxa" w:w="3969"/>
          </w:tcPr>
          <w:p>
            <w:r>
              <w:rPr>
                <w:sz w:val="18"/>
              </w:rPr>
              <w:t>Exposition des données aux clients mobiles</w:t>
            </w:r>
          </w:p>
        </w:tc>
      </w:tr>
      <w:tr>
        <w:tc>
          <w:tcPr>
            <w:tcW w:type="dxa" w:w="2268"/>
          </w:tcPr>
          <w:p>
            <w:r>
              <w:rPr>
                <w:sz w:val="18"/>
              </w:rPr>
              <w:t>Application Mobile</w:t>
            </w:r>
          </w:p>
        </w:tc>
        <w:tc>
          <w:tcPr>
            <w:tcW w:type="dxa" w:w="2551"/>
          </w:tcPr>
          <w:p>
            <w:r>
              <w:rPr>
                <w:sz w:val="18"/>
              </w:rPr>
              <w:t>Flutter (iOS / Android)</w:t>
            </w:r>
          </w:p>
        </w:tc>
        <w:tc>
          <w:tcPr>
            <w:tcW w:type="dxa" w:w="3969"/>
          </w:tcPr>
          <w:p>
            <w:r>
              <w:rPr>
                <w:sz w:val="18"/>
              </w:rPr>
              <w:t>Accès nomade « Mobile First »</w:t>
            </w:r>
          </w:p>
        </w:tc>
      </w:tr>
      <w:tr>
        <w:tc>
          <w:tcPr>
            <w:tcW w:type="dxa" w:w="2268"/>
          </w:tcPr>
          <w:p>
            <w:r>
              <w:rPr>
                <w:sz w:val="18"/>
              </w:rPr>
              <w:t>Application Wear OS</w:t>
            </w:r>
          </w:p>
        </w:tc>
        <w:tc>
          <w:tcPr>
            <w:tcW w:type="dxa" w:w="2551"/>
          </w:tcPr>
          <w:p>
            <w:r>
              <w:rPr>
                <w:sz w:val="18"/>
              </w:rPr>
              <w:t>Kotlin / Jetpack Compose</w:t>
            </w:r>
          </w:p>
        </w:tc>
        <w:tc>
          <w:tcPr>
            <w:tcW w:type="dxa" w:w="3969"/>
          </w:tcPr>
          <w:p>
            <w:r>
              <w:rPr>
                <w:sz w:val="18"/>
              </w:rPr>
              <w:t>Saisie rapide de l'humeur depuis la montre</w:t>
            </w:r>
          </w:p>
        </w:tc>
      </w:tr>
      <w:tr>
        <w:tc>
          <w:tcPr>
            <w:tcW w:type="dxa" w:w="2268"/>
          </w:tcPr>
          <w:p>
            <w:r>
              <w:rPr>
                <w:sz w:val="18"/>
              </w:rPr>
              <w:t>Base de données</w:t>
            </w:r>
          </w:p>
        </w:tc>
        <w:tc>
          <w:tcPr>
            <w:tcW w:type="dxa" w:w="2551"/>
          </w:tcPr>
          <w:p>
            <w:r>
              <w:rPr>
                <w:sz w:val="18"/>
              </w:rPr>
              <w:t>MySQL (prod) / SQLite (dev)</w:t>
            </w:r>
          </w:p>
        </w:tc>
        <w:tc>
          <w:tcPr>
            <w:tcW w:type="dxa" w:w="3969"/>
          </w:tcPr>
          <w:p>
            <w:r>
              <w:rPr>
                <w:sz w:val="18"/>
              </w:rPr>
              <w:t>Persistance des données</w:t>
            </w:r>
          </w:p>
        </w:tc>
      </w:tr>
    </w:tbl>
    <w:p>
      <w:r>
        <w:rPr>
          <w:b w:val="0"/>
          <w:i/>
          <w:color w:val="595959"/>
          <w:sz w:val="18"/>
        </w:rPr>
        <w:t>C'est l'application Web (et son API) qui fait l'objet du déploiement automatisé décrit dans ce dossier, les applications mobiles étant distribuées via leurs stores respectifs.</w:t>
      </w:r>
    </w:p>
    <w:p>
      <w:pPr>
        <w:pStyle w:val="Heading1"/>
      </w:pPr>
      <w:r>
        <w:t>2. Gestion des versions du logiciel</w:t>
      </w:r>
    </w:p>
    <w:p>
      <w:pPr>
        <w:pStyle w:val="Heading2"/>
      </w:pPr>
      <w:r>
        <w:t>2.1 Choix de l'outil : Git + Gitea auto-hébergé</w:t>
      </w:r>
    </w:p>
    <w:p>
      <w:r>
        <w:rPr>
          <w:b w:val="0"/>
          <w:i w:val="0"/>
        </w:rPr>
        <w:t>La gestion de version repose sur Git, standard de fait du contrôle de version distribué. Pour l'hébergement des dépôts, la forge logicielle Gitea a été retenue et déployée sur notre propre serveur, accessible à l'adresse https://gitea.sam-coffre.duckdns.org/.</w:t>
      </w:r>
    </w:p>
    <w:p>
      <w:r>
        <w:rPr>
          <w:b w:val="0"/>
          <w:i w:val="0"/>
        </w:rPr>
        <w:t>Le tableau ci-dessous justifie ce choix par rapport aux alternatives du marché :</w:t>
      </w:r>
    </w:p>
    <w:tbl>
      <w:tblPr>
        <w:tblW w:type="auto" w:w="0"/>
        <w:jc w:val="center"/>
        <w:tblLook w:firstColumn="1" w:firstRow="1" w:lastColumn="0" w:lastRow="0" w:noHBand="0" w:noVBand="1" w:val="04A0"/>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Grid>
        <w:gridCol w:w="2160"/>
        <w:gridCol w:w="2160"/>
        <w:gridCol w:w="2160"/>
        <w:gridCol w:w="2160"/>
      </w:tblGrid>
      <w:tr>
        <w:tc>
          <w:tcPr>
            <w:tcW w:type="dxa" w:w="2154"/>
            <w:shd w:val="clear" w:fill="0F4761"/>
          </w:tcPr>
          <w:p>
            <w:r>
              <w:rPr>
                <w:b/>
                <w:color w:val="FFFFFF"/>
                <w:sz w:val="18"/>
              </w:rPr>
              <w:t>Critère</w:t>
            </w:r>
          </w:p>
        </w:tc>
        <w:tc>
          <w:tcPr>
            <w:tcW w:type="dxa" w:w="1984"/>
            <w:shd w:val="clear" w:fill="0F4761"/>
          </w:tcPr>
          <w:p>
            <w:r>
              <w:rPr>
                <w:b/>
                <w:color w:val="FFFFFF"/>
                <w:sz w:val="18"/>
              </w:rPr>
              <w:t>GitHub</w:t>
            </w:r>
          </w:p>
        </w:tc>
        <w:tc>
          <w:tcPr>
            <w:tcW w:type="dxa" w:w="2268"/>
            <w:shd w:val="clear" w:fill="0F4761"/>
          </w:tcPr>
          <w:p>
            <w:r>
              <w:rPr>
                <w:b/>
                <w:color w:val="FFFFFF"/>
                <w:sz w:val="18"/>
              </w:rPr>
              <w:t>GitLab</w:t>
            </w:r>
          </w:p>
        </w:tc>
        <w:tc>
          <w:tcPr>
            <w:tcW w:type="dxa" w:w="2381"/>
            <w:shd w:val="clear" w:fill="0F4761"/>
          </w:tcPr>
          <w:p>
            <w:r>
              <w:rPr>
                <w:b/>
                <w:color w:val="FFFFFF"/>
                <w:sz w:val="18"/>
              </w:rPr>
              <w:t>Gitea (retenu)</w:t>
            </w:r>
          </w:p>
        </w:tc>
      </w:tr>
      <w:tr>
        <w:tc>
          <w:tcPr>
            <w:tcW w:type="dxa" w:w="2154"/>
          </w:tcPr>
          <w:p>
            <w:r>
              <w:rPr>
                <w:sz w:val="18"/>
              </w:rPr>
              <w:t>Hébergement</w:t>
            </w:r>
          </w:p>
        </w:tc>
        <w:tc>
          <w:tcPr>
            <w:tcW w:type="dxa" w:w="1984"/>
          </w:tcPr>
          <w:p>
            <w:r>
              <w:rPr>
                <w:sz w:val="18"/>
              </w:rPr>
              <w:t>SaaS (cloud)</w:t>
            </w:r>
          </w:p>
        </w:tc>
        <w:tc>
          <w:tcPr>
            <w:tcW w:type="dxa" w:w="2268"/>
          </w:tcPr>
          <w:p>
            <w:r>
              <w:rPr>
                <w:sz w:val="18"/>
              </w:rPr>
              <w:t>SaaS ou auto-hébergé (lourd)</w:t>
            </w:r>
          </w:p>
        </w:tc>
        <w:tc>
          <w:tcPr>
            <w:tcW w:type="dxa" w:w="2381"/>
          </w:tcPr>
          <w:p>
            <w:r>
              <w:rPr>
                <w:sz w:val="18"/>
              </w:rPr>
              <w:t>Auto-hébergé, très léger</w:t>
            </w:r>
          </w:p>
        </w:tc>
      </w:tr>
      <w:tr>
        <w:tc>
          <w:tcPr>
            <w:tcW w:type="dxa" w:w="2154"/>
          </w:tcPr>
          <w:p>
            <w:r>
              <w:rPr>
                <w:sz w:val="18"/>
              </w:rPr>
              <w:t>Souveraineté des données</w:t>
            </w:r>
          </w:p>
        </w:tc>
        <w:tc>
          <w:tcPr>
            <w:tcW w:type="dxa" w:w="1984"/>
          </w:tcPr>
          <w:p>
            <w:r>
              <w:rPr>
                <w:sz w:val="18"/>
              </w:rPr>
              <w:t>Serveurs tiers (USA)</w:t>
            </w:r>
          </w:p>
        </w:tc>
        <w:tc>
          <w:tcPr>
            <w:tcW w:type="dxa" w:w="2268"/>
          </w:tcPr>
          <w:p>
            <w:r>
              <w:rPr>
                <w:sz w:val="18"/>
              </w:rPr>
              <w:t>Variable</w:t>
            </w:r>
          </w:p>
        </w:tc>
        <w:tc>
          <w:tcPr>
            <w:tcW w:type="dxa" w:w="2381"/>
          </w:tcPr>
          <w:p>
            <w:r>
              <w:rPr>
                <w:sz w:val="18"/>
              </w:rPr>
              <w:t>Total : données sur notre serveur</w:t>
            </w:r>
          </w:p>
        </w:tc>
      </w:tr>
      <w:tr>
        <w:tc>
          <w:tcPr>
            <w:tcW w:type="dxa" w:w="2154"/>
          </w:tcPr>
          <w:p>
            <w:r>
              <w:rPr>
                <w:sz w:val="18"/>
              </w:rPr>
              <w:t>Ressources requises</w:t>
            </w:r>
          </w:p>
        </w:tc>
        <w:tc>
          <w:tcPr>
            <w:tcW w:type="dxa" w:w="1984"/>
          </w:tcPr>
          <w:p>
            <w:r>
              <w:rPr>
                <w:sz w:val="18"/>
              </w:rPr>
              <w:t>—</w:t>
            </w:r>
          </w:p>
        </w:tc>
        <w:tc>
          <w:tcPr>
            <w:tcW w:type="dxa" w:w="2268"/>
          </w:tcPr>
          <w:p>
            <w:r>
              <w:rPr>
                <w:sz w:val="18"/>
              </w:rPr>
              <w:t>Élevées (Go de RAM)</w:t>
            </w:r>
          </w:p>
        </w:tc>
        <w:tc>
          <w:tcPr>
            <w:tcW w:type="dxa" w:w="2381"/>
          </w:tcPr>
          <w:p>
            <w:r>
              <w:rPr>
                <w:sz w:val="18"/>
              </w:rPr>
              <w:t>Faibles (~200 Mo RAM)</w:t>
            </w:r>
          </w:p>
        </w:tc>
      </w:tr>
      <w:tr>
        <w:tc>
          <w:tcPr>
            <w:tcW w:type="dxa" w:w="2154"/>
          </w:tcPr>
          <w:p>
            <w:r>
              <w:rPr>
                <w:sz w:val="18"/>
              </w:rPr>
              <w:t>CI/CD intégrée</w:t>
            </w:r>
          </w:p>
        </w:tc>
        <w:tc>
          <w:tcPr>
            <w:tcW w:type="dxa" w:w="1984"/>
          </w:tcPr>
          <w:p>
            <w:r>
              <w:rPr>
                <w:sz w:val="18"/>
              </w:rPr>
              <w:t>Actions</w:t>
            </w:r>
          </w:p>
        </w:tc>
        <w:tc>
          <w:tcPr>
            <w:tcW w:type="dxa" w:w="2268"/>
          </w:tcPr>
          <w:p>
            <w:r>
              <w:rPr>
                <w:sz w:val="18"/>
              </w:rPr>
              <w:t>Pipelines</w:t>
            </w:r>
          </w:p>
        </w:tc>
        <w:tc>
          <w:tcPr>
            <w:tcW w:type="dxa" w:w="2381"/>
          </w:tcPr>
          <w:p>
            <w:r>
              <w:rPr>
                <w:sz w:val="18"/>
              </w:rPr>
              <w:t>Gitea Actions (compatible Actions)</w:t>
            </w:r>
          </w:p>
        </w:tc>
      </w:tr>
      <w:tr>
        <w:tc>
          <w:tcPr>
            <w:tcW w:type="dxa" w:w="2154"/>
          </w:tcPr>
          <w:p>
            <w:r>
              <w:rPr>
                <w:sz w:val="18"/>
              </w:rPr>
              <w:t>Coût</w:t>
            </w:r>
          </w:p>
        </w:tc>
        <w:tc>
          <w:tcPr>
            <w:tcW w:type="dxa" w:w="1984"/>
          </w:tcPr>
          <w:p>
            <w:r>
              <w:rPr>
                <w:sz w:val="18"/>
              </w:rPr>
              <w:t>Gratuit/payant</w:t>
            </w:r>
          </w:p>
        </w:tc>
        <w:tc>
          <w:tcPr>
            <w:tcW w:type="dxa" w:w="2268"/>
          </w:tcPr>
          <w:p>
            <w:r>
              <w:rPr>
                <w:sz w:val="18"/>
              </w:rPr>
              <w:t>Gratuit/payant</w:t>
            </w:r>
          </w:p>
        </w:tc>
        <w:tc>
          <w:tcPr>
            <w:tcW w:type="dxa" w:w="2381"/>
          </w:tcPr>
          <w:p>
            <w:r>
              <w:rPr>
                <w:sz w:val="18"/>
              </w:rPr>
              <w:t>Open source, gratuit</w:t>
            </w:r>
          </w:p>
        </w:tc>
      </w:tr>
    </w:tbl>
    <w:p>
      <w:r>
        <w:rPr>
          <w:b w:val="0"/>
          <w:i w:val="0"/>
        </w:rPr>
        <w:t>Le choix de Gitea est particulièrement pertinent dans le contexte d'un projet ministériel : il garantit la souveraineté des données (le code source et l'historique restent hébergés sur une infrastructure maîtrisée), tout en offrant une intégration continue native compatible avec la syntaxe GitHub Actions.</w:t>
      </w:r>
    </w:p>
    <w:p>
      <w:pPr>
        <w:pStyle w:val="Heading2"/>
      </w:pPr>
      <w:r>
        <w:t>2.2 Organisation du dépôt</w:t>
      </w:r>
    </w:p>
    <w:p>
      <w:r>
        <w:rPr>
          <w:b w:val="0"/>
          <w:i w:val="0"/>
        </w:rPr>
        <w:t>Le projet est organisé en mono-dépôt (monorepo) regroupant les trois applications, ce qui facilite la cohérence des versions et le partage de la documentation :</w:t>
      </w:r>
    </w:p>
    <w:p>
      <w:pPr>
        <w:pStyle w:val="ListBullet"/>
      </w:pPr>
      <w:r>
        <w:t>WEB/ – application Laravel (site + API) ;</w:t>
      </w:r>
    </w:p>
    <w:p>
      <w:pPr>
        <w:pStyle w:val="ListBullet"/>
      </w:pPr>
      <w:r>
        <w:t>mobile/ – application Flutter ;</w:t>
      </w:r>
    </w:p>
    <w:p>
      <w:pPr>
        <w:pStyle w:val="ListBullet"/>
      </w:pPr>
      <w:r>
        <w:t>Wear/ – application Wear OS ;</w:t>
      </w:r>
    </w:p>
    <w:p>
      <w:pPr>
        <w:pStyle w:val="ListBullet"/>
      </w:pPr>
      <w:r>
        <w:t>docs/ – documentation technique et fonctionnelle ;</w:t>
      </w:r>
    </w:p>
    <w:p>
      <w:pPr>
        <w:pStyle w:val="ListBullet"/>
      </w:pPr>
      <w:r>
        <w:t>.gitea/ – workflows CI/CD et modèles de tickets.</w:t>
      </w:r>
    </w:p>
    <w:p>
      <w:pPr>
        <w:pStyle w:val="Heading2"/>
      </w:pPr>
      <w:r>
        <w:t>2.3 Stratégie de branches</w:t>
      </w:r>
    </w:p>
    <w:p>
      <w:r>
        <w:rPr>
          <w:b w:val="0"/>
          <w:i w:val="0"/>
        </w:rPr>
        <w:t>Une stratégie de branches inspirée de GitHub Flow / Git Flow simplifié a été mise en place :</w:t>
      </w:r>
    </w:p>
    <w:tbl>
      <w:tblPr>
        <w:tblW w:type="auto" w:w="0"/>
        <w:jc w:val="center"/>
        <w:tblLook w:firstColumn="1" w:firstRow="1" w:lastColumn="0" w:lastRow="0" w:noHBand="0" w:noVBand="1" w:val="04A0"/>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Grid>
        <w:gridCol w:w="2880"/>
        <w:gridCol w:w="2880"/>
        <w:gridCol w:w="2880"/>
      </w:tblGrid>
      <w:tr>
        <w:tc>
          <w:tcPr>
            <w:tcW w:type="dxa" w:w="1814"/>
            <w:shd w:val="clear" w:fill="0F4761"/>
          </w:tcPr>
          <w:p>
            <w:r>
              <w:rPr>
                <w:b/>
                <w:color w:val="FFFFFF"/>
                <w:sz w:val="18"/>
              </w:rPr>
              <w:t>Branche</w:t>
            </w:r>
          </w:p>
        </w:tc>
        <w:tc>
          <w:tcPr>
            <w:tcW w:type="dxa" w:w="3969"/>
            <w:shd w:val="clear" w:fill="0F4761"/>
          </w:tcPr>
          <w:p>
            <w:r>
              <w:rPr>
                <w:b/>
                <w:color w:val="FFFFFF"/>
                <w:sz w:val="18"/>
              </w:rPr>
              <w:t>Rôle</w:t>
            </w:r>
          </w:p>
        </w:tc>
        <w:tc>
          <w:tcPr>
            <w:tcW w:type="dxa" w:w="3005"/>
            <w:shd w:val="clear" w:fill="0F4761"/>
          </w:tcPr>
          <w:p>
            <w:r>
              <w:rPr>
                <w:b/>
                <w:color w:val="FFFFFF"/>
                <w:sz w:val="18"/>
              </w:rPr>
              <w:t>Déploiement associé</w:t>
            </w:r>
          </w:p>
        </w:tc>
      </w:tr>
      <w:tr>
        <w:tc>
          <w:tcPr>
            <w:tcW w:type="dxa" w:w="1814"/>
          </w:tcPr>
          <w:p>
            <w:r>
              <w:rPr>
                <w:sz w:val="18"/>
              </w:rPr>
              <w:t>main</w:t>
            </w:r>
          </w:p>
        </w:tc>
        <w:tc>
          <w:tcPr>
            <w:tcW w:type="dxa" w:w="3969"/>
          </w:tcPr>
          <w:p>
            <w:r>
              <w:rPr>
                <w:sz w:val="18"/>
              </w:rPr>
              <w:t>Version stable, prête pour la production</w:t>
            </w:r>
          </w:p>
        </w:tc>
        <w:tc>
          <w:tcPr>
            <w:tcW w:type="dxa" w:w="3005"/>
          </w:tcPr>
          <w:p>
            <w:r>
              <w:rPr>
                <w:sz w:val="18"/>
              </w:rPr>
              <w:t>Déclenche le déploiement en production</w:t>
            </w:r>
          </w:p>
        </w:tc>
      </w:tr>
      <w:tr>
        <w:tc>
          <w:tcPr>
            <w:tcW w:type="dxa" w:w="1814"/>
          </w:tcPr>
          <w:p>
            <w:r>
              <w:rPr>
                <w:sz w:val="18"/>
              </w:rPr>
              <w:t>develop</w:t>
            </w:r>
          </w:p>
        </w:tc>
        <w:tc>
          <w:tcPr>
            <w:tcW w:type="dxa" w:w="3969"/>
          </w:tcPr>
          <w:p>
            <w:r>
              <w:rPr>
                <w:sz w:val="18"/>
              </w:rPr>
              <w:t>Intégration des fonctionnalités en cours</w:t>
            </w:r>
          </w:p>
        </w:tc>
        <w:tc>
          <w:tcPr>
            <w:tcW w:type="dxa" w:w="3005"/>
          </w:tcPr>
          <w:p>
            <w:r>
              <w:rPr>
                <w:sz w:val="18"/>
              </w:rPr>
              <w:t>Déclenche les tests (CI)</w:t>
            </w:r>
          </w:p>
        </w:tc>
      </w:tr>
      <w:tr>
        <w:tc>
          <w:tcPr>
            <w:tcW w:type="dxa" w:w="1814"/>
          </w:tcPr>
          <w:p>
            <w:r>
              <w:rPr>
                <w:sz w:val="18"/>
              </w:rPr>
              <w:t>feature/*</w:t>
            </w:r>
          </w:p>
        </w:tc>
        <w:tc>
          <w:tcPr>
            <w:tcW w:type="dxa" w:w="3969"/>
          </w:tcPr>
          <w:p>
            <w:r>
              <w:rPr>
                <w:sz w:val="18"/>
              </w:rPr>
              <w:t>Développement d'une fonctionnalité isolée</w:t>
            </w:r>
          </w:p>
        </w:tc>
        <w:tc>
          <w:tcPr>
            <w:tcW w:type="dxa" w:w="3005"/>
          </w:tcPr>
          <w:p>
            <w:r>
              <w:rPr>
                <w:sz w:val="18"/>
              </w:rPr>
              <w:t>Tests via Pull Request</w:t>
            </w:r>
          </w:p>
        </w:tc>
      </w:tr>
      <w:tr>
        <w:tc>
          <w:tcPr>
            <w:tcW w:type="dxa" w:w="1814"/>
          </w:tcPr>
          <w:p>
            <w:r>
              <w:rPr>
                <w:sz w:val="18"/>
              </w:rPr>
              <w:t>hotfix/*</w:t>
            </w:r>
          </w:p>
        </w:tc>
        <w:tc>
          <w:tcPr>
            <w:tcW w:type="dxa" w:w="3969"/>
          </w:tcPr>
          <w:p>
            <w:r>
              <w:rPr>
                <w:sz w:val="18"/>
              </w:rPr>
              <w:t>Correction urgente en production</w:t>
            </w:r>
          </w:p>
        </w:tc>
        <w:tc>
          <w:tcPr>
            <w:tcW w:type="dxa" w:w="3005"/>
          </w:tcPr>
          <w:p>
            <w:r>
              <w:rPr>
                <w:sz w:val="18"/>
              </w:rPr>
              <w:t>Fusion rapide vers main</w:t>
            </w:r>
          </w:p>
        </w:tc>
      </w:tr>
    </w:tbl>
    <w:p>
      <w:r>
        <w:rPr>
          <w:b w:val="0"/>
          <w:i w:val="0"/>
        </w:rPr>
        <w:t>Toute intégration sur main ou develop passe obligatoirement par une Pull Request, soumise à la validation de la CI (tests + analyse de code) avant fusion.</w:t>
      </w:r>
    </w:p>
    <w:p>
      <w:pPr>
        <w:pStyle w:val="Heading2"/>
      </w:pPr>
      <w:r>
        <w:t>2.4 Conventions de commits</w:t>
      </w:r>
    </w:p>
    <w:p>
      <w:r>
        <w:rPr>
          <w:b w:val="0"/>
          <w:i w:val="0"/>
        </w:rPr>
        <w:t>Les messages de commit suivent la convention Conventional Commits (feat, fix, docs, refactor, test, chore…), ce qui rend l'historique lisible et permet de générer automatiquement le journal des modifications (CHANGELOG.md).</w:t>
      </w:r>
    </w:p>
    <w:p>
      <w:pPr>
        <w:pStyle w:val="Heading2"/>
      </w:pPr>
      <w:r>
        <w:t>2.5 Mise en place de l'exécuteur d'intégration continue (act_runner)</w:t>
      </w:r>
    </w:p>
    <w:p>
      <w:r>
        <w:rPr>
          <w:b w:val="0"/>
          <w:i w:val="0"/>
        </w:rPr>
        <w:t>Pour que Gitea exécute les pipelines, un exécuteur (runner) doit être enregistré. L'outil officiel act_runner est déployé sous forme de conteneur Docker sur le serveur. Il récupère un jeton d'enregistrement depuis l'administration de Gitea puis exécute les workflows dans des conteneurs isolés :</w:t>
      </w:r>
    </w:p>
    <w:p>
      <w:pPr>
        <w:ind w:left="170"/>
        <w:shd w:val="clear" w:fill="F3F4F6"/>
      </w:pPr>
      <w:r>
        <w:rPr>
          <w:rFonts w:ascii="Consolas" w:hAnsi="Consolas"/>
          <w:color w:val="2D2D2D"/>
          <w:sz w:val="16"/>
        </w:rPr>
        <w:t>services:</w:t>
      </w:r>
      <w:r>
        <w:rPr>
          <w:rFonts w:ascii="Consolas" w:hAnsi="Consolas"/>
          <w:color w:val="2D2D2D"/>
          <w:sz w:val="16"/>
        </w:rPr>
        <w:br/>
        <w:t xml:space="preserve">  act_runner:</w:t>
      </w:r>
      <w:r>
        <w:rPr>
          <w:rFonts w:ascii="Consolas" w:hAnsi="Consolas"/>
          <w:color w:val="2D2D2D"/>
          <w:sz w:val="16"/>
        </w:rPr>
        <w:br/>
        <w:t xml:space="preserve">    image: gitea/act_runner:latest</w:t>
      </w:r>
      <w:r>
        <w:rPr>
          <w:rFonts w:ascii="Consolas" w:hAnsi="Consolas"/>
          <w:color w:val="2D2D2D"/>
          <w:sz w:val="16"/>
        </w:rPr>
        <w:br/>
        <w:t xml:space="preserve">    restart: always</w:t>
      </w:r>
      <w:r>
        <w:rPr>
          <w:rFonts w:ascii="Consolas" w:hAnsi="Consolas"/>
          <w:color w:val="2D2D2D"/>
          <w:sz w:val="16"/>
        </w:rPr>
        <w:br/>
        <w:t xml:space="preserve">    environment:</w:t>
      </w:r>
      <w:r>
        <w:rPr>
          <w:rFonts w:ascii="Consolas" w:hAnsi="Consolas"/>
          <w:color w:val="2D2D2D"/>
          <w:sz w:val="16"/>
        </w:rPr>
        <w:br/>
        <w:t xml:space="preserve">      GITEA_INSTANCE_URL: https://gitea.sam-coffre.duckdns.org</w:t>
      </w:r>
      <w:r>
        <w:rPr>
          <w:rFonts w:ascii="Consolas" w:hAnsi="Consolas"/>
          <w:color w:val="2D2D2D"/>
          <w:sz w:val="16"/>
        </w:rPr>
        <w:br/>
        <w:t xml:space="preserve">      GITEA_RUNNER_REGISTRATION_TOKEN: "&lt;jeton d'enregistrement&gt;"</w:t>
      </w:r>
      <w:r>
        <w:rPr>
          <w:rFonts w:ascii="Consolas" w:hAnsi="Consolas"/>
          <w:color w:val="2D2D2D"/>
          <w:sz w:val="16"/>
        </w:rPr>
        <w:br/>
        <w:t xml:space="preserve">      GITEA_RUNNER_LABELS: "ubuntu-latest:docker://catthehacker/ubuntu:act-latest"</w:t>
      </w:r>
      <w:r>
        <w:rPr>
          <w:rFonts w:ascii="Consolas" w:hAnsi="Consolas"/>
          <w:color w:val="2D2D2D"/>
          <w:sz w:val="16"/>
        </w:rPr>
        <w:br/>
        <w:t xml:space="preserve">    volumes:</w:t>
      </w:r>
      <w:r>
        <w:rPr>
          <w:rFonts w:ascii="Consolas" w:hAnsi="Consolas"/>
          <w:color w:val="2D2D2D"/>
          <w:sz w:val="16"/>
        </w:rPr>
        <w:br/>
        <w:t xml:space="preserve">      - /var/run/docker.sock:/var/run/docker.sock</w:t>
      </w:r>
      <w:r>
        <w:rPr>
          <w:rFonts w:ascii="Consolas" w:hAnsi="Consolas"/>
          <w:color w:val="2D2D2D"/>
          <w:sz w:val="16"/>
        </w:rPr>
        <w:br/>
        <w:t xml:space="preserve">      - ./data:/data</w:t>
      </w:r>
    </w:p>
    <w:p>
      <w:r>
        <w:rPr>
          <w:b w:val="0"/>
          <w:i/>
          <w:color w:val="595959"/>
          <w:sz w:val="18"/>
        </w:rPr>
        <w:t>Cette configuration constitue l'environnement de déploiement automatisé : elle permet d'enchaîner sans intervention manuelle les tests, la construction de l'image et la mise en production.</w:t>
      </w:r>
    </w:p>
    <w:p>
      <w:pPr>
        <w:pStyle w:val="Heading1"/>
      </w:pPr>
      <w:r>
        <w:t>3. Gestion des évolutions et de la maintenance</w:t>
      </w:r>
    </w:p>
    <w:p>
      <w:r>
        <w:rPr>
          <w:b w:val="0"/>
          <w:i w:val="0"/>
        </w:rPr>
        <w:t>La maintenance corrective (incidents) et évolutive (nouvelles demandes) est pilotée directement depuis Gitea, qui joue le rôle d'outil unique de suivi.</w:t>
      </w:r>
    </w:p>
    <w:p>
      <w:pPr>
        <w:pStyle w:val="Heading2"/>
      </w:pPr>
      <w:r>
        <w:t>3.1 Outil de gestion des demandes : Gitea Issues</w:t>
      </w:r>
    </w:p>
    <w:p>
      <w:r>
        <w:rPr>
          <w:b w:val="0"/>
          <w:i w:val="0"/>
        </w:rPr>
        <w:t>Le module Issues de Gitea centralise l'ensemble des demandes. Deux modèles de tickets structurés (formulaires) ont été créés dans le dépôt pour standardiser les saisies :</w:t>
      </w:r>
    </w:p>
    <w:tbl>
      <w:tblPr>
        <w:tblW w:type="auto" w:w="0"/>
        <w:jc w:val="center"/>
        <w:tblLook w:firstColumn="1" w:firstRow="1" w:lastColumn="0" w:lastRow="0" w:noHBand="0" w:noVBand="1" w:val="04A0"/>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Grid>
        <w:gridCol w:w="2880"/>
        <w:gridCol w:w="2880"/>
        <w:gridCol w:w="2880"/>
      </w:tblGrid>
      <w:tr>
        <w:tc>
          <w:tcPr>
            <w:tcW w:type="dxa" w:w="2154"/>
            <w:shd w:val="clear" w:fill="0F4761"/>
          </w:tcPr>
          <w:p>
            <w:r>
              <w:rPr>
                <w:b/>
                <w:color w:val="FFFFFF"/>
                <w:sz w:val="18"/>
              </w:rPr>
              <w:t>Modèle</w:t>
            </w:r>
          </w:p>
        </w:tc>
        <w:tc>
          <w:tcPr>
            <w:tcW w:type="dxa" w:w="2835"/>
            <w:shd w:val="clear" w:fill="0F4761"/>
          </w:tcPr>
          <w:p>
            <w:r>
              <w:rPr>
                <w:b/>
                <w:color w:val="FFFFFF"/>
                <w:sz w:val="18"/>
              </w:rPr>
              <w:t>Usage</w:t>
            </w:r>
          </w:p>
        </w:tc>
        <w:tc>
          <w:tcPr>
            <w:tcW w:type="dxa" w:w="3798"/>
            <w:shd w:val="clear" w:fill="0F4761"/>
          </w:tcPr>
          <w:p>
            <w:r>
              <w:rPr>
                <w:b/>
                <w:color w:val="FFFFFF"/>
                <w:sz w:val="18"/>
              </w:rPr>
              <w:t>Champs structurés</w:t>
            </w:r>
          </w:p>
        </w:tc>
      </w:tr>
      <w:tr>
        <w:tc>
          <w:tcPr>
            <w:tcW w:type="dxa" w:w="2154"/>
          </w:tcPr>
          <w:p>
            <w:r>
              <w:rPr>
                <w:sz w:val="18"/>
              </w:rPr>
              <w:t>🐞 Rapport d'incident</w:t>
            </w:r>
          </w:p>
        </w:tc>
        <w:tc>
          <w:tcPr>
            <w:tcW w:type="dxa" w:w="2835"/>
          </w:tcPr>
          <w:p>
            <w:r>
              <w:rPr>
                <w:sz w:val="18"/>
              </w:rPr>
              <w:t>Signaler un dysfonctionnement (maintenance corrective)</w:t>
            </w:r>
          </w:p>
        </w:tc>
        <w:tc>
          <w:tcPr>
            <w:tcW w:type="dxa" w:w="3798"/>
          </w:tcPr>
          <w:p>
            <w:r>
              <w:rPr>
                <w:sz w:val="18"/>
              </w:rPr>
              <w:t>Composant, gravité, reproduction, comportement attendu, environnement</w:t>
            </w:r>
          </w:p>
        </w:tc>
      </w:tr>
      <w:tr>
        <w:tc>
          <w:tcPr>
            <w:tcW w:type="dxa" w:w="2154"/>
          </w:tcPr>
          <w:p>
            <w:r>
              <w:rPr>
                <w:sz w:val="18"/>
              </w:rPr>
              <w:t>✨ Demande d'évolution</w:t>
            </w:r>
          </w:p>
        </w:tc>
        <w:tc>
          <w:tcPr>
            <w:tcW w:type="dxa" w:w="2835"/>
          </w:tcPr>
          <w:p>
            <w:r>
              <w:rPr>
                <w:sz w:val="18"/>
              </w:rPr>
              <w:t>Proposer une fonctionnalité (maintenance évolutive)</w:t>
            </w:r>
          </w:p>
        </w:tc>
        <w:tc>
          <w:tcPr>
            <w:tcW w:type="dxa" w:w="3798"/>
          </w:tcPr>
          <w:p>
            <w:r>
              <w:rPr>
                <w:sz w:val="18"/>
              </w:rPr>
              <w:t>Besoin, solution proposée, priorité, critères d'acceptation</w:t>
            </w:r>
          </w:p>
        </w:tc>
      </w:tr>
    </w:tbl>
    <w:p>
      <w:pPr>
        <w:pStyle w:val="Heading2"/>
      </w:pPr>
      <w:r>
        <w:t>3.2 Cycle de vie d'une demande</w:t>
      </w:r>
    </w:p>
    <w:p>
      <w:r>
        <w:rPr>
          <w:b w:val="0"/>
          <w:i w:val="0"/>
        </w:rPr>
        <w:t>Chaque demande suit un flux de traitement matérialisé par des labels et un tableau Kanban (Gitea Projects) :</w:t>
      </w:r>
    </w:p>
    <w:p>
      <w:pPr>
        <w:jc w:val="center"/>
      </w:pPr>
      <w:r>
        <w:rPr>
          <w:b/>
          <w:i w:val="0"/>
        </w:rPr>
        <w:t>Nouveau  →  Qualifié / Priorisé  →  En cours  →  En revue (Pull Request)  →  Testé  →  Déployé / Clôturé</w:t>
      </w:r>
    </w:p>
    <w:p>
      <w:r>
        <w:rPr>
          <w:b w:val="0"/>
          <w:i w:val="0"/>
        </w:rPr>
        <w:t>Les demandes sont regroupées par jalons (milestones) correspondant aux versions prévues (v1.1, v1.2…), assurant une visibilité sur la feuille de route.</w:t>
      </w:r>
    </w:p>
    <w:p>
      <w:pPr>
        <w:pStyle w:val="Heading2"/>
      </w:pPr>
      <w:r>
        <w:t>3.3 Traitement des incidents en production</w:t>
      </w:r>
    </w:p>
    <w:p>
      <w:r>
        <w:rPr>
          <w:b w:val="0"/>
          <w:i w:val="0"/>
        </w:rPr>
        <w:t>Les incidents sont qualifiés selon leur gravité afin de définir un délai de prise en charge (engagement de service) :</w:t>
      </w:r>
    </w:p>
    <w:tbl>
      <w:tblPr>
        <w:tblW w:type="auto" w:w="0"/>
        <w:jc w:val="center"/>
        <w:tblLook w:firstColumn="1" w:firstRow="1" w:lastColumn="0" w:lastRow="0" w:noHBand="0" w:noVBand="1" w:val="04A0"/>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Grid>
        <w:gridCol w:w="2880"/>
        <w:gridCol w:w="2880"/>
        <w:gridCol w:w="2880"/>
      </w:tblGrid>
      <w:tr>
        <w:tc>
          <w:tcPr>
            <w:tcW w:type="dxa" w:w="1701"/>
            <w:shd w:val="clear" w:fill="0F4761"/>
          </w:tcPr>
          <w:p>
            <w:r>
              <w:rPr>
                <w:b/>
                <w:color w:val="FFFFFF"/>
                <w:sz w:val="18"/>
              </w:rPr>
              <w:t>Gravité</w:t>
            </w:r>
          </w:p>
        </w:tc>
        <w:tc>
          <w:tcPr>
            <w:tcW w:type="dxa" w:w="3402"/>
            <w:shd w:val="clear" w:fill="0F4761"/>
          </w:tcPr>
          <w:p>
            <w:r>
              <w:rPr>
                <w:b/>
                <w:color w:val="FFFFFF"/>
                <w:sz w:val="18"/>
              </w:rPr>
              <w:t>Exemple</w:t>
            </w:r>
          </w:p>
        </w:tc>
        <w:tc>
          <w:tcPr>
            <w:tcW w:type="dxa" w:w="3685"/>
            <w:shd w:val="clear" w:fill="0F4761"/>
          </w:tcPr>
          <w:p>
            <w:r>
              <w:rPr>
                <w:b/>
                <w:color w:val="FFFFFF"/>
                <w:sz w:val="18"/>
              </w:rPr>
              <w:t>Délai de prise en charge visé</w:t>
            </w:r>
          </w:p>
        </w:tc>
      </w:tr>
      <w:tr>
        <w:tc>
          <w:tcPr>
            <w:tcW w:type="dxa" w:w="1701"/>
          </w:tcPr>
          <w:p>
            <w:r>
              <w:rPr>
                <w:sz w:val="18"/>
              </w:rPr>
              <w:t>Critique</w:t>
            </w:r>
          </w:p>
        </w:tc>
        <w:tc>
          <w:tcPr>
            <w:tcW w:type="dxa" w:w="3402"/>
          </w:tcPr>
          <w:p>
            <w:r>
              <w:rPr>
                <w:sz w:val="18"/>
              </w:rPr>
              <w:t>Service indisponible, fuite de données</w:t>
            </w:r>
          </w:p>
        </w:tc>
        <w:tc>
          <w:tcPr>
            <w:tcW w:type="dxa" w:w="3685"/>
          </w:tcPr>
          <w:p>
            <w:r>
              <w:rPr>
                <w:sz w:val="18"/>
              </w:rPr>
              <w:t>Immédiat (hotfix)</w:t>
            </w:r>
          </w:p>
        </w:tc>
      </w:tr>
      <w:tr>
        <w:tc>
          <w:tcPr>
            <w:tcW w:type="dxa" w:w="1701"/>
          </w:tcPr>
          <w:p>
            <w:r>
              <w:rPr>
                <w:sz w:val="18"/>
              </w:rPr>
              <w:t>Majeure</w:t>
            </w:r>
          </w:p>
        </w:tc>
        <w:tc>
          <w:tcPr>
            <w:tcW w:type="dxa" w:w="3402"/>
          </w:tcPr>
          <w:p>
            <w:r>
              <w:rPr>
                <w:sz w:val="18"/>
              </w:rPr>
              <w:t>Fonctionnalité clé bloquée</w:t>
            </w:r>
          </w:p>
        </w:tc>
        <w:tc>
          <w:tcPr>
            <w:tcW w:type="dxa" w:w="3685"/>
          </w:tcPr>
          <w:p>
            <w:r>
              <w:rPr>
                <w:sz w:val="18"/>
              </w:rPr>
              <w:t>Sous 48 h</w:t>
            </w:r>
          </w:p>
        </w:tc>
      </w:tr>
      <w:tr>
        <w:tc>
          <w:tcPr>
            <w:tcW w:type="dxa" w:w="1701"/>
          </w:tcPr>
          <w:p>
            <w:r>
              <w:rPr>
                <w:sz w:val="18"/>
              </w:rPr>
              <w:t>Mineure</w:t>
            </w:r>
          </w:p>
        </w:tc>
        <w:tc>
          <w:tcPr>
            <w:tcW w:type="dxa" w:w="3402"/>
          </w:tcPr>
          <w:p>
            <w:r>
              <w:rPr>
                <w:sz w:val="18"/>
              </w:rPr>
              <w:t>Anomalie avec contournement</w:t>
            </w:r>
          </w:p>
        </w:tc>
        <w:tc>
          <w:tcPr>
            <w:tcW w:type="dxa" w:w="3685"/>
          </w:tcPr>
          <w:p>
            <w:r>
              <w:rPr>
                <w:sz w:val="18"/>
              </w:rPr>
              <w:t>Prochaine version planifiée</w:t>
            </w:r>
          </w:p>
        </w:tc>
      </w:tr>
      <w:tr>
        <w:tc>
          <w:tcPr>
            <w:tcW w:type="dxa" w:w="1701"/>
          </w:tcPr>
          <w:p>
            <w:r>
              <w:rPr>
                <w:sz w:val="18"/>
              </w:rPr>
              <w:t>Cosmétique</w:t>
            </w:r>
          </w:p>
        </w:tc>
        <w:tc>
          <w:tcPr>
            <w:tcW w:type="dxa" w:w="3402"/>
          </w:tcPr>
          <w:p>
            <w:r>
              <w:rPr>
                <w:sz w:val="18"/>
              </w:rPr>
              <w:t>Défaut d'affichage</w:t>
            </w:r>
          </w:p>
        </w:tc>
        <w:tc>
          <w:tcPr>
            <w:tcW w:type="dxa" w:w="3685"/>
          </w:tcPr>
          <w:p>
            <w:r>
              <w:rPr>
                <w:sz w:val="18"/>
              </w:rPr>
              <w:t>Backlog</w:t>
            </w:r>
          </w:p>
        </w:tc>
      </w:tr>
    </w:tbl>
    <w:p>
      <w:pPr>
        <w:pStyle w:val="Heading2"/>
      </w:pPr>
      <w:r>
        <w:t>3.4 Versionnage et traçabilité</w:t>
      </w:r>
    </w:p>
    <w:p>
      <w:r>
        <w:rPr>
          <w:b w:val="0"/>
          <w:i w:val="0"/>
        </w:rPr>
        <w:t>Le projet applique le versionnage sémantique (SemVer : MAJEUR.MINEUR.CORRECTIF). Chaque version publiée est associée à un tag Git et à une entrée dans le fichier CHANGELOG.md, garantissant la traçabilité des évolutions livrées à l'administration.</w:t>
      </w:r>
    </w:p>
    <w:p>
      <w:r>
        <w:br w:type="page"/>
      </w:r>
    </w:p>
    <w:p>
      <w:pPr>
        <w:pStyle w:val="Heading1"/>
      </w:pPr>
      <w:r>
        <w:t>4. Plan de déploiement</w:t>
      </w:r>
    </w:p>
    <w:p>
      <w:pPr>
        <w:pStyle w:val="Heading2"/>
      </w:pPr>
      <w:r>
        <w:t>4.1 Environnements de déploiement</w:t>
      </w:r>
    </w:p>
    <w:p>
      <w:r>
        <w:rPr>
          <w:b w:val="0"/>
          <w:i w:val="0"/>
        </w:rPr>
        <w:t>Une démarche de déploiement cohérente s'appuie sur une chaîne d'environnements distincts, permettant de valider progressivement chaque évolution avant la production :</w:t>
      </w:r>
    </w:p>
    <w:tbl>
      <w:tblPr>
        <w:tblW w:type="auto" w:w="0"/>
        <w:jc w:val="center"/>
        <w:tblLook w:firstColumn="1" w:firstRow="1" w:lastColumn="0" w:lastRow="0" w:noHBand="0" w:noVBand="1" w:val="04A0"/>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Grid>
        <w:gridCol w:w="2880"/>
        <w:gridCol w:w="2880"/>
        <w:gridCol w:w="2880"/>
      </w:tblGrid>
      <w:tr>
        <w:tc>
          <w:tcPr>
            <w:tcW w:type="dxa" w:w="1814"/>
            <w:shd w:val="clear" w:fill="0F4761"/>
          </w:tcPr>
          <w:p>
            <w:r>
              <w:rPr>
                <w:b/>
                <w:color w:val="FFFFFF"/>
                <w:sz w:val="18"/>
              </w:rPr>
              <w:t>Environnement</w:t>
            </w:r>
          </w:p>
        </w:tc>
        <w:tc>
          <w:tcPr>
            <w:tcW w:type="dxa" w:w="3118"/>
            <w:shd w:val="clear" w:fill="0F4761"/>
          </w:tcPr>
          <w:p>
            <w:r>
              <w:rPr>
                <w:b/>
                <w:color w:val="FFFFFF"/>
                <w:sz w:val="18"/>
              </w:rPr>
              <w:t>Objet</w:t>
            </w:r>
          </w:p>
        </w:tc>
        <w:tc>
          <w:tcPr>
            <w:tcW w:type="dxa" w:w="3855"/>
            <w:shd w:val="clear" w:fill="0F4761"/>
          </w:tcPr>
          <w:p>
            <w:r>
              <w:rPr>
                <w:b/>
                <w:color w:val="FFFFFF"/>
                <w:sz w:val="18"/>
              </w:rPr>
              <w:t>Hébergement</w:t>
            </w:r>
          </w:p>
        </w:tc>
      </w:tr>
      <w:tr>
        <w:tc>
          <w:tcPr>
            <w:tcW w:type="dxa" w:w="1814"/>
          </w:tcPr>
          <w:p>
            <w:r>
              <w:rPr>
                <w:sz w:val="18"/>
              </w:rPr>
              <w:t>Développement</w:t>
            </w:r>
          </w:p>
        </w:tc>
        <w:tc>
          <w:tcPr>
            <w:tcW w:type="dxa" w:w="3118"/>
          </w:tcPr>
          <w:p>
            <w:r>
              <w:rPr>
                <w:sz w:val="18"/>
              </w:rPr>
              <w:t>Poste du développeur</w:t>
            </w:r>
          </w:p>
        </w:tc>
        <w:tc>
          <w:tcPr>
            <w:tcW w:type="dxa" w:w="3855"/>
          </w:tcPr>
          <w:p>
            <w:r>
              <w:rPr>
                <w:sz w:val="18"/>
              </w:rPr>
              <w:t>Docker local / php artisan serve</w:t>
            </w:r>
          </w:p>
        </w:tc>
      </w:tr>
      <w:tr>
        <w:tc>
          <w:tcPr>
            <w:tcW w:type="dxa" w:w="1814"/>
          </w:tcPr>
          <w:p>
            <w:r>
              <w:rPr>
                <w:sz w:val="18"/>
              </w:rPr>
              <w:t>Test (QA) / CI</w:t>
            </w:r>
          </w:p>
        </w:tc>
        <w:tc>
          <w:tcPr>
            <w:tcW w:type="dxa" w:w="3118"/>
          </w:tcPr>
          <w:p>
            <w:r>
              <w:rPr>
                <w:sz w:val="18"/>
              </w:rPr>
              <w:t>Exécution automatisée des tests</w:t>
            </w:r>
          </w:p>
        </w:tc>
        <w:tc>
          <w:tcPr>
            <w:tcW w:type="dxa" w:w="3855"/>
          </w:tcPr>
          <w:p>
            <w:r>
              <w:rPr>
                <w:sz w:val="18"/>
              </w:rPr>
              <w:t>Conteneur éphémère (Gitea Actions)</w:t>
            </w:r>
          </w:p>
        </w:tc>
      </w:tr>
      <w:tr>
        <w:tc>
          <w:tcPr>
            <w:tcW w:type="dxa" w:w="1814"/>
          </w:tcPr>
          <w:p>
            <w:r>
              <w:rPr>
                <w:sz w:val="18"/>
              </w:rPr>
              <w:t>Préproduction</w:t>
            </w:r>
          </w:p>
        </w:tc>
        <w:tc>
          <w:tcPr>
            <w:tcW w:type="dxa" w:w="3118"/>
          </w:tcPr>
          <w:p>
            <w:r>
              <w:rPr>
                <w:sz w:val="18"/>
              </w:rPr>
              <w:t>Recette et validation fonctionnelle</w:t>
            </w:r>
          </w:p>
        </w:tc>
        <w:tc>
          <w:tcPr>
            <w:tcW w:type="dxa" w:w="3855"/>
          </w:tcPr>
          <w:p>
            <w:r>
              <w:rPr>
                <w:sz w:val="18"/>
              </w:rPr>
              <w:t>Conteneur Docker (iso-prod)</w:t>
            </w:r>
          </w:p>
        </w:tc>
      </w:tr>
      <w:tr>
        <w:tc>
          <w:tcPr>
            <w:tcW w:type="dxa" w:w="1814"/>
          </w:tcPr>
          <w:p>
            <w:r>
              <w:rPr>
                <w:sz w:val="18"/>
              </w:rPr>
              <w:t>Production</w:t>
            </w:r>
          </w:p>
        </w:tc>
        <w:tc>
          <w:tcPr>
            <w:tcW w:type="dxa" w:w="3118"/>
          </w:tcPr>
          <w:p>
            <w:r>
              <w:rPr>
                <w:sz w:val="18"/>
              </w:rPr>
              <w:t>Application accessible aux usagers</w:t>
            </w:r>
          </w:p>
        </w:tc>
        <w:tc>
          <w:tcPr>
            <w:tcW w:type="dxa" w:w="3855"/>
          </w:tcPr>
          <w:p>
            <w:r>
              <w:rPr>
                <w:sz w:val="18"/>
              </w:rPr>
              <w:t>Serveur + Portainer + Nginx Proxy Manager</w:t>
            </w:r>
          </w:p>
        </w:tc>
      </w:tr>
    </w:tbl>
    <w:p>
      <w:pPr>
        <w:pStyle w:val="Heading2"/>
      </w:pPr>
      <w:r>
        <w:t>4.2 Architecture d'hébergement</w:t>
      </w:r>
    </w:p>
    <w:p>
      <w:r>
        <w:rPr>
          <w:b w:val="0"/>
          <w:i w:val="0"/>
        </w:rPr>
        <w:t>L'application de production est conteneurisée et orchestrée via Portainer. Elle est accessible à l'adresse https://cesizen.sam-coffre.duckdns.org/. La chaîne technique est la suivante :</w:t>
      </w:r>
    </w:p>
    <w:p>
      <w:pPr>
        <w:jc w:val="center"/>
      </w:pPr>
      <w:r>
        <w:rPr>
          <w:b/>
          <w:i w:val="0"/>
        </w:rPr>
        <w:t>Internet  →  Nginx Proxy Manager (TLS / Let's Encrypt)  →  Conteneur Nginx  →  Conteneur PHP-FPM (Laravel)  →  Base MySQL</w:t>
      </w:r>
    </w:p>
    <w:p>
      <w:pPr>
        <w:pStyle w:val="ListBullet"/>
      </w:pPr>
      <w:r>
        <w:t>DuckDNS assure la résolution du nom de domaine dynamique ;</w:t>
      </w:r>
    </w:p>
    <w:p>
      <w:pPr>
        <w:pStyle w:val="ListBullet"/>
      </w:pPr>
      <w:r>
        <w:t>Nginx Proxy Manager termine le chiffrement TLS et génère automatiquement les certificats Let's Encrypt ;</w:t>
      </w:r>
    </w:p>
    <w:p>
      <w:pPr>
        <w:pStyle w:val="ListBullet"/>
      </w:pPr>
      <w:r>
        <w:t>Portainer fournit l'interface d'orchestration des conteneurs et le mécanisme de redéploiement (webhook) ;</w:t>
      </w:r>
    </w:p>
    <w:p>
      <w:pPr>
        <w:pStyle w:val="ListBullet"/>
      </w:pPr>
      <w:r>
        <w:t>Le conteneur applicatif est construit à partir du Dockerfile du dossier WEB/.</w:t>
      </w:r>
    </w:p>
    <w:p>
      <w:pPr>
        <w:jc w:val="center"/>
      </w:pPr>
      <w:r>
        <w:drawing>
          <wp:inline xmlns:a="http://schemas.openxmlformats.org/drawingml/2006/main" xmlns:pic="http://schemas.openxmlformats.org/drawingml/2006/picture">
            <wp:extent cx="5580000" cy="1702373"/>
            <wp:docPr id="2" name="Picture 2"/>
            <wp:cNvGraphicFramePr>
              <a:graphicFrameLocks noChangeAspect="1"/>
            </wp:cNvGraphicFramePr>
            <a:graphic>
              <a:graphicData uri="http://schemas.openxmlformats.org/drawingml/2006/picture">
                <pic:pic>
                  <pic:nvPicPr>
                    <pic:cNvPr id="0" name="diag_archi.png"/>
                    <pic:cNvPicPr/>
                  </pic:nvPicPr>
                  <pic:blipFill>
                    <a:blip r:embed="rId12"/>
                    <a:stretch>
                      <a:fillRect/>
                    </a:stretch>
                  </pic:blipFill>
                  <pic:spPr>
                    <a:xfrm>
                      <a:off x="0" y="0"/>
                      <a:ext cx="5580000" cy="1702373"/>
                    </a:xfrm>
                    <a:prstGeom prst="rect"/>
                  </pic:spPr>
                </pic:pic>
              </a:graphicData>
            </a:graphic>
          </wp:inline>
        </w:drawing>
      </w:r>
    </w:p>
    <w:p>
      <w:pPr>
        <w:spacing w:after="200"/>
        <w:jc w:val="center"/>
      </w:pPr>
      <w:r>
        <w:rPr>
          <w:b w:val="0"/>
          <w:i/>
          <w:color w:val="595959"/>
          <w:sz w:val="18"/>
        </w:rPr>
        <w:t>Figure 1 – Architecture d'hébergement de l'application en production</w:t>
      </w:r>
    </w:p>
    <w:p>
      <w:pPr>
        <w:pStyle w:val="Heading2"/>
      </w:pPr>
      <w:r>
        <w:t>4.3 Conteneurisation</w:t>
      </w:r>
    </w:p>
    <w:p>
      <w:r>
        <w:rPr>
          <w:b w:val="0"/>
          <w:i w:val="0"/>
        </w:rPr>
        <w:t>L'application est empaquetée dans une image Docker (image PHP 8.3-FPM) intégrant l'installation des dépendances PHP (Composer, sans dépendances de développement), la compilation des assets front (Vite/Node) et le durcissement des permissions. Le fichier docker-compose.yml décrit les services app (PHP-FPM) et webserver (Nginx).</w:t>
      </w:r>
    </w:p>
    <w:p>
      <w:pPr>
        <w:pStyle w:val="Heading2"/>
      </w:pPr>
      <w:r>
        <w:t>4.4 Chaîne d'intégration et de déploiement continus (CI/CD)</w:t>
      </w:r>
    </w:p>
    <w:p>
      <w:r>
        <w:rPr>
          <w:b w:val="0"/>
          <w:i w:val="0"/>
        </w:rPr>
        <w:t>L'automatisation repose sur Gitea Actions, exécutée par un runner (act_runner) déployé sur le serveur. Deux pipelines ont été mis en place.</w:t>
      </w:r>
    </w:p>
    <w:p>
      <w:pPr>
        <w:jc w:val="center"/>
      </w:pPr>
      <w:r>
        <w:drawing>
          <wp:inline xmlns:a="http://schemas.openxmlformats.org/drawingml/2006/main" xmlns:pic="http://schemas.openxmlformats.org/drawingml/2006/picture">
            <wp:extent cx="5580000" cy="2222542"/>
            <wp:docPr id="3" name="Picture 3"/>
            <wp:cNvGraphicFramePr>
              <a:graphicFrameLocks noChangeAspect="1"/>
            </wp:cNvGraphicFramePr>
            <a:graphic>
              <a:graphicData uri="http://schemas.openxmlformats.org/drawingml/2006/picture">
                <pic:pic>
                  <pic:nvPicPr>
                    <pic:cNvPr id="0" name="diag_cicd.png"/>
                    <pic:cNvPicPr/>
                  </pic:nvPicPr>
                  <pic:blipFill>
                    <a:blip r:embed="rId13"/>
                    <a:stretch>
                      <a:fillRect/>
                    </a:stretch>
                  </pic:blipFill>
                  <pic:spPr>
                    <a:xfrm>
                      <a:off x="0" y="0"/>
                      <a:ext cx="5580000" cy="2222542"/>
                    </a:xfrm>
                    <a:prstGeom prst="rect"/>
                  </pic:spPr>
                </pic:pic>
              </a:graphicData>
            </a:graphic>
          </wp:inline>
        </w:drawing>
      </w:r>
    </w:p>
    <w:p>
      <w:pPr>
        <w:spacing w:after="200"/>
        <w:jc w:val="center"/>
      </w:pPr>
      <w:r>
        <w:rPr>
          <w:b w:val="0"/>
          <w:i/>
          <w:color w:val="595959"/>
          <w:sz w:val="18"/>
        </w:rPr>
        <w:t>Figure 2 – Chaîne d'intégration et de déploiement continus</w:t>
      </w:r>
    </w:p>
    <w:p>
      <w:pPr>
        <w:pStyle w:val="Heading3"/>
      </w:pPr>
      <w:r>
        <w:t>Pipeline d'Intégration Continue (CI)</w:t>
      </w:r>
    </w:p>
    <w:p>
      <w:r>
        <w:rPr>
          <w:b w:val="0"/>
          <w:i w:val="0"/>
        </w:rPr>
        <w:t>Déclenché à chaque push et chaque Pull Request, il garantit la qualité avant toute fusion. Étapes :</w:t>
      </w:r>
    </w:p>
    <w:p>
      <w:pPr>
        <w:pStyle w:val="ListBullet"/>
      </w:pPr>
      <w:r>
        <w:t>récupération du code et installation de l'environnement PHP 8.3 ;</w:t>
      </w:r>
    </w:p>
    <w:p>
      <w:pPr>
        <w:pStyle w:val="ListBullet"/>
      </w:pPr>
      <w:r>
        <w:t>installation des dépendances (Composer) ;</w:t>
      </w:r>
    </w:p>
    <w:p>
      <w:pPr>
        <w:pStyle w:val="ListBullet"/>
      </w:pPr>
      <w:r>
        <w:t>analyse du style de code avec Laravel Pint ;</w:t>
      </w:r>
    </w:p>
    <w:p>
      <w:pPr>
        <w:pStyle w:val="ListBullet"/>
      </w:pPr>
      <w:r>
        <w:t>audit de sécurité des dépendances (composer audit, npm audit) ;</w:t>
      </w:r>
    </w:p>
    <w:p>
      <w:pPr>
        <w:pStyle w:val="ListBullet"/>
      </w:pPr>
      <w:r>
        <w:t>compilation des assets (Vite) ;</w:t>
      </w:r>
    </w:p>
    <w:p>
      <w:pPr>
        <w:pStyle w:val="ListBullet"/>
      </w:pPr>
      <w:r>
        <w:t>exécution de la suite de tests automatisés (PHPUnit).</w:t>
      </w:r>
    </w:p>
    <w:p>
      <w:pPr>
        <w:pStyle w:val="Heading3"/>
      </w:pPr>
      <w:r>
        <w:t>Pipeline de Déploiement Continu (CD)</w:t>
      </w:r>
    </w:p>
    <w:p>
      <w:r>
        <w:rPr>
          <w:b w:val="0"/>
          <w:i w:val="0"/>
        </w:rPr>
        <w:t>Déclenché lors d'une fusion sur main, il automatise la livraison en production :</w:t>
      </w:r>
    </w:p>
    <w:p>
      <w:pPr>
        <w:pStyle w:val="ListBullet"/>
      </w:pPr>
      <w:r>
        <w:t>construction de l'image Docker de l'application ;</w:t>
      </w:r>
    </w:p>
    <w:p>
      <w:pPr>
        <w:pStyle w:val="ListBullet"/>
      </w:pPr>
      <w:r>
        <w:t>publication de l'image sur le Container Registry intégré à Gitea ;</w:t>
      </w:r>
    </w:p>
    <w:p>
      <w:pPr>
        <w:pStyle w:val="ListBullet"/>
      </w:pPr>
      <w:r>
        <w:t>déclenchement du webhook Portainer qui récupère la nouvelle image et recrée le conteneur ;</w:t>
      </w:r>
    </w:p>
    <w:p>
      <w:pPr>
        <w:pStyle w:val="ListBullet"/>
      </w:pPr>
      <w:r>
        <w:t>vérification de disponibilité post-déploiement (health check sur la route /up).</w:t>
      </w:r>
    </w:p>
    <w:p>
      <w:pPr>
        <w:pStyle w:val="Heading2"/>
      </w:pPr>
      <w:r>
        <w:t>4.5 Plan de déploiement détaillé et ressources affectées</w:t>
      </w:r>
    </w:p>
    <w:p>
      <w:r>
        <w:rPr>
          <w:b w:val="0"/>
          <w:i w:val="0"/>
        </w:rPr>
        <w:t>Le tableau ci-dessous synthétise les étapes clés, les ressources techniques mobilisées et le caractère automatisé de chaque tâche :</w:t>
      </w:r>
    </w:p>
    <w:tbl>
      <w:tblPr>
        <w:tblW w:type="auto" w:w="0"/>
        <w:jc w:val="center"/>
        <w:tblLook w:firstColumn="1" w:firstRow="1" w:lastColumn="0" w:lastRow="0" w:noHBand="0" w:noVBand="1" w:val="04A0"/>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Grid>
        <w:gridCol w:w="2160"/>
        <w:gridCol w:w="2160"/>
        <w:gridCol w:w="2160"/>
        <w:gridCol w:w="2160"/>
      </w:tblGrid>
      <w:tr>
        <w:tc>
          <w:tcPr>
            <w:tcW w:type="dxa" w:w="850"/>
            <w:shd w:val="clear" w:fill="0F4761"/>
          </w:tcPr>
          <w:p>
            <w:r>
              <w:rPr>
                <w:b/>
                <w:color w:val="FFFFFF"/>
                <w:sz w:val="18"/>
              </w:rPr>
              <w:t>Étape</w:t>
            </w:r>
          </w:p>
        </w:tc>
        <w:tc>
          <w:tcPr>
            <w:tcW w:type="dxa" w:w="3118"/>
            <w:shd w:val="clear" w:fill="0F4761"/>
          </w:tcPr>
          <w:p>
            <w:r>
              <w:rPr>
                <w:b/>
                <w:color w:val="FFFFFF"/>
                <w:sz w:val="18"/>
              </w:rPr>
              <w:t>Action</w:t>
            </w:r>
          </w:p>
        </w:tc>
        <w:tc>
          <w:tcPr>
            <w:tcW w:type="dxa" w:w="3005"/>
            <w:shd w:val="clear" w:fill="0F4761"/>
          </w:tcPr>
          <w:p>
            <w:r>
              <w:rPr>
                <w:b/>
                <w:color w:val="FFFFFF"/>
                <w:sz w:val="18"/>
              </w:rPr>
              <w:t>Ressource / Outil</w:t>
            </w:r>
          </w:p>
        </w:tc>
        <w:tc>
          <w:tcPr>
            <w:tcW w:type="dxa" w:w="1814"/>
            <w:shd w:val="clear" w:fill="0F4761"/>
          </w:tcPr>
          <w:p>
            <w:r>
              <w:rPr>
                <w:b/>
                <w:color w:val="FFFFFF"/>
                <w:sz w:val="18"/>
              </w:rPr>
              <w:t>Mode</w:t>
            </w:r>
          </w:p>
        </w:tc>
      </w:tr>
      <w:tr>
        <w:tc>
          <w:tcPr>
            <w:tcW w:type="dxa" w:w="850"/>
          </w:tcPr>
          <w:p>
            <w:r>
              <w:rPr>
                <w:sz w:val="18"/>
              </w:rPr>
              <w:t>1</w:t>
            </w:r>
          </w:p>
        </w:tc>
        <w:tc>
          <w:tcPr>
            <w:tcW w:type="dxa" w:w="3118"/>
          </w:tcPr>
          <w:p>
            <w:r>
              <w:rPr>
                <w:sz w:val="18"/>
              </w:rPr>
              <w:t>Fusion sur main via Pull Request</w:t>
            </w:r>
          </w:p>
        </w:tc>
        <w:tc>
          <w:tcPr>
            <w:tcW w:type="dxa" w:w="3005"/>
          </w:tcPr>
          <w:p>
            <w:r>
              <w:rPr>
                <w:sz w:val="18"/>
              </w:rPr>
              <w:t>Gitea</w:t>
            </w:r>
          </w:p>
        </w:tc>
        <w:tc>
          <w:tcPr>
            <w:tcW w:type="dxa" w:w="1814"/>
          </w:tcPr>
          <w:p>
            <w:r>
              <w:rPr>
                <w:sz w:val="18"/>
              </w:rPr>
              <w:t>Manuel (validé)</w:t>
            </w:r>
          </w:p>
        </w:tc>
      </w:tr>
      <w:tr>
        <w:tc>
          <w:tcPr>
            <w:tcW w:type="dxa" w:w="850"/>
          </w:tcPr>
          <w:p>
            <w:r>
              <w:rPr>
                <w:sz w:val="18"/>
              </w:rPr>
              <w:t>2</w:t>
            </w:r>
          </w:p>
        </w:tc>
        <w:tc>
          <w:tcPr>
            <w:tcW w:type="dxa" w:w="3118"/>
          </w:tcPr>
          <w:p>
            <w:r>
              <w:rPr>
                <w:sz w:val="18"/>
              </w:rPr>
              <w:t>Exécution des tests et contrôles qualité</w:t>
            </w:r>
          </w:p>
        </w:tc>
        <w:tc>
          <w:tcPr>
            <w:tcW w:type="dxa" w:w="3005"/>
          </w:tcPr>
          <w:p>
            <w:r>
              <w:rPr>
                <w:sz w:val="18"/>
              </w:rPr>
              <w:t>Gitea Actions + Pint/PHPUnit</w:t>
            </w:r>
          </w:p>
        </w:tc>
        <w:tc>
          <w:tcPr>
            <w:tcW w:type="dxa" w:w="1814"/>
          </w:tcPr>
          <w:p>
            <w:r>
              <w:rPr>
                <w:sz w:val="18"/>
              </w:rPr>
              <w:t>Automatique</w:t>
            </w:r>
          </w:p>
        </w:tc>
      </w:tr>
      <w:tr>
        <w:tc>
          <w:tcPr>
            <w:tcW w:type="dxa" w:w="850"/>
          </w:tcPr>
          <w:p>
            <w:r>
              <w:rPr>
                <w:sz w:val="18"/>
              </w:rPr>
              <w:t>3</w:t>
            </w:r>
          </w:p>
        </w:tc>
        <w:tc>
          <w:tcPr>
            <w:tcW w:type="dxa" w:w="3118"/>
          </w:tcPr>
          <w:p>
            <w:r>
              <w:rPr>
                <w:sz w:val="18"/>
              </w:rPr>
              <w:t>Build de l'image Docker</w:t>
            </w:r>
          </w:p>
        </w:tc>
        <w:tc>
          <w:tcPr>
            <w:tcW w:type="dxa" w:w="3005"/>
          </w:tcPr>
          <w:p>
            <w:r>
              <w:rPr>
                <w:sz w:val="18"/>
              </w:rPr>
              <w:t>Docker Buildx</w:t>
            </w:r>
          </w:p>
        </w:tc>
        <w:tc>
          <w:tcPr>
            <w:tcW w:type="dxa" w:w="1814"/>
          </w:tcPr>
          <w:p>
            <w:r>
              <w:rPr>
                <w:sz w:val="18"/>
              </w:rPr>
              <w:t>Automatique</w:t>
            </w:r>
          </w:p>
        </w:tc>
      </w:tr>
      <w:tr>
        <w:tc>
          <w:tcPr>
            <w:tcW w:type="dxa" w:w="850"/>
          </w:tcPr>
          <w:p>
            <w:r>
              <w:rPr>
                <w:sz w:val="18"/>
              </w:rPr>
              <w:t>4</w:t>
            </w:r>
          </w:p>
        </w:tc>
        <w:tc>
          <w:tcPr>
            <w:tcW w:type="dxa" w:w="3118"/>
          </w:tcPr>
          <w:p>
            <w:r>
              <w:rPr>
                <w:sz w:val="18"/>
              </w:rPr>
              <w:t>Publication de l'image</w:t>
            </w:r>
          </w:p>
        </w:tc>
        <w:tc>
          <w:tcPr>
            <w:tcW w:type="dxa" w:w="3005"/>
          </w:tcPr>
          <w:p>
            <w:r>
              <w:rPr>
                <w:sz w:val="18"/>
              </w:rPr>
              <w:t>Gitea Container Registry</w:t>
            </w:r>
          </w:p>
        </w:tc>
        <w:tc>
          <w:tcPr>
            <w:tcW w:type="dxa" w:w="1814"/>
          </w:tcPr>
          <w:p>
            <w:r>
              <w:rPr>
                <w:sz w:val="18"/>
              </w:rPr>
              <w:t>Automatique</w:t>
            </w:r>
          </w:p>
        </w:tc>
      </w:tr>
      <w:tr>
        <w:tc>
          <w:tcPr>
            <w:tcW w:type="dxa" w:w="850"/>
          </w:tcPr>
          <w:p>
            <w:r>
              <w:rPr>
                <w:sz w:val="18"/>
              </w:rPr>
              <w:t>5</w:t>
            </w:r>
          </w:p>
        </w:tc>
        <w:tc>
          <w:tcPr>
            <w:tcW w:type="dxa" w:w="3118"/>
          </w:tcPr>
          <w:p>
            <w:r>
              <w:rPr>
                <w:sz w:val="18"/>
              </w:rPr>
              <w:t>Redéploiement du conteneur</w:t>
            </w:r>
          </w:p>
        </w:tc>
        <w:tc>
          <w:tcPr>
            <w:tcW w:type="dxa" w:w="3005"/>
          </w:tcPr>
          <w:p>
            <w:r>
              <w:rPr>
                <w:sz w:val="18"/>
              </w:rPr>
              <w:t>Webhook Portainer</w:t>
            </w:r>
          </w:p>
        </w:tc>
        <w:tc>
          <w:tcPr>
            <w:tcW w:type="dxa" w:w="1814"/>
          </w:tcPr>
          <w:p>
            <w:r>
              <w:rPr>
                <w:sz w:val="18"/>
              </w:rPr>
              <w:t>Automatique</w:t>
            </w:r>
          </w:p>
        </w:tc>
      </w:tr>
      <w:tr>
        <w:tc>
          <w:tcPr>
            <w:tcW w:type="dxa" w:w="850"/>
          </w:tcPr>
          <w:p>
            <w:r>
              <w:rPr>
                <w:sz w:val="18"/>
              </w:rPr>
              <w:t>6</w:t>
            </w:r>
          </w:p>
        </w:tc>
        <w:tc>
          <w:tcPr>
            <w:tcW w:type="dxa" w:w="3118"/>
          </w:tcPr>
          <w:p>
            <w:r>
              <w:rPr>
                <w:sz w:val="18"/>
              </w:rPr>
              <w:t>Migrations de base de données</w:t>
            </w:r>
          </w:p>
        </w:tc>
        <w:tc>
          <w:tcPr>
            <w:tcW w:type="dxa" w:w="3005"/>
          </w:tcPr>
          <w:p>
            <w:r>
              <w:rPr>
                <w:sz w:val="18"/>
              </w:rPr>
              <w:t>php artisan migrate</w:t>
            </w:r>
          </w:p>
        </w:tc>
        <w:tc>
          <w:tcPr>
            <w:tcW w:type="dxa" w:w="1814"/>
          </w:tcPr>
          <w:p>
            <w:r>
              <w:rPr>
                <w:sz w:val="18"/>
              </w:rPr>
              <w:t>Automatique/Contrôlé</w:t>
            </w:r>
          </w:p>
        </w:tc>
      </w:tr>
      <w:tr>
        <w:tc>
          <w:tcPr>
            <w:tcW w:type="dxa" w:w="850"/>
          </w:tcPr>
          <w:p>
            <w:r>
              <w:rPr>
                <w:sz w:val="18"/>
              </w:rPr>
              <w:t>7</w:t>
            </w:r>
          </w:p>
        </w:tc>
        <w:tc>
          <w:tcPr>
            <w:tcW w:type="dxa" w:w="3118"/>
          </w:tcPr>
          <w:p>
            <w:r>
              <w:rPr>
                <w:sz w:val="18"/>
              </w:rPr>
              <w:t>Vérification de disponibilité</w:t>
            </w:r>
          </w:p>
        </w:tc>
        <w:tc>
          <w:tcPr>
            <w:tcW w:type="dxa" w:w="3005"/>
          </w:tcPr>
          <w:p>
            <w:r>
              <w:rPr>
                <w:sz w:val="18"/>
              </w:rPr>
              <w:t>Health check /up</w:t>
            </w:r>
          </w:p>
        </w:tc>
        <w:tc>
          <w:tcPr>
            <w:tcW w:type="dxa" w:w="1814"/>
          </w:tcPr>
          <w:p>
            <w:r>
              <w:rPr>
                <w:sz w:val="18"/>
              </w:rPr>
              <w:t>Automatique</w:t>
            </w:r>
          </w:p>
        </w:tc>
      </w:tr>
    </w:tbl>
    <w:p>
      <w:pPr>
        <w:pStyle w:val="Heading2"/>
      </w:pPr>
      <w:r>
        <w:t>4.6 Stratégie de retour arrière (rollback)</w:t>
      </w:r>
    </w:p>
    <w:p>
      <w:r>
        <w:rPr>
          <w:b w:val="0"/>
          <w:i w:val="0"/>
        </w:rPr>
        <w:t>Chaque image publiée étant taguée (latest et empreinte de commit), un retour à la version précédente est possible en re-déployant le tag antérieur depuis Portainer. Les migrations de base de données sont réversibles (méthode down() des migrations Laravel), et des sauvegardes régulières de la base sont réalisées avant chaque déploiement majeur.</w:t>
      </w:r>
    </w:p>
    <w:p>
      <w:pPr>
        <w:pStyle w:val="Heading2"/>
      </w:pPr>
      <w:r>
        <w:t>4.7 Supervision, sauvegardes et exploitation</w:t>
      </w:r>
    </w:p>
    <w:p>
      <w:r>
        <w:rPr>
          <w:b w:val="0"/>
          <w:i w:val="0"/>
        </w:rPr>
        <w:t>La mise en service s'accompagne d'un dispositif d'exploitation garantissant la disponibilité et la récupérabilité du service :</w:t>
      </w:r>
    </w:p>
    <w:tbl>
      <w:tblPr>
        <w:tblW w:type="auto" w:w="0"/>
        <w:jc w:val="center"/>
        <w:tblLook w:firstColumn="1" w:firstRow="1" w:lastColumn="0" w:lastRow="0" w:noHBand="0" w:noVBand="1" w:val="04A0"/>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Grid>
        <w:gridCol w:w="4320"/>
        <w:gridCol w:w="4320"/>
      </w:tblGrid>
      <w:tr>
        <w:tc>
          <w:tcPr>
            <w:tcW w:type="dxa" w:w="1984"/>
            <w:shd w:val="clear" w:fill="0F4761"/>
          </w:tcPr>
          <w:p>
            <w:r>
              <w:rPr>
                <w:b/>
                <w:color w:val="FFFFFF"/>
                <w:sz w:val="18"/>
              </w:rPr>
              <w:t>Domaine</w:t>
            </w:r>
          </w:p>
        </w:tc>
        <w:tc>
          <w:tcPr>
            <w:tcW w:type="dxa" w:w="6236"/>
            <w:shd w:val="clear" w:fill="0F4761"/>
          </w:tcPr>
          <w:p>
            <w:r>
              <w:rPr>
                <w:b/>
                <w:color w:val="FFFFFF"/>
                <w:sz w:val="18"/>
              </w:rPr>
              <w:t>Dispositif</w:t>
            </w:r>
          </w:p>
        </w:tc>
      </w:tr>
      <w:tr>
        <w:tc>
          <w:tcPr>
            <w:tcW w:type="dxa" w:w="1984"/>
          </w:tcPr>
          <w:p>
            <w:r>
              <w:rPr>
                <w:sz w:val="18"/>
              </w:rPr>
              <w:t>Disponibilité</w:t>
            </w:r>
          </w:p>
        </w:tc>
        <w:tc>
          <w:tcPr>
            <w:tcW w:type="dxa" w:w="6236"/>
          </w:tcPr>
          <w:p>
            <w:r>
              <w:rPr>
                <w:sz w:val="18"/>
              </w:rPr>
              <w:t>Route de santé /up vérifiée après chaque déploiement ; conteneurs en restart automatique (restart: unless-stopped).</w:t>
            </w:r>
          </w:p>
        </w:tc>
      </w:tr>
      <w:tr>
        <w:tc>
          <w:tcPr>
            <w:tcW w:type="dxa" w:w="1984"/>
          </w:tcPr>
          <w:p>
            <w:r>
              <w:rPr>
                <w:sz w:val="18"/>
              </w:rPr>
              <w:t>Journalisation</w:t>
            </w:r>
          </w:p>
        </w:tc>
        <w:tc>
          <w:tcPr>
            <w:tcW w:type="dxa" w:w="6236"/>
          </w:tcPr>
          <w:p>
            <w:r>
              <w:rPr>
                <w:sz w:val="18"/>
              </w:rPr>
              <w:t>Logs Laravel en rotation quotidienne (canal daily) ; logs des conteneurs consultables via Portainer.</w:t>
            </w:r>
          </w:p>
        </w:tc>
      </w:tr>
      <w:tr>
        <w:tc>
          <w:tcPr>
            <w:tcW w:type="dxa" w:w="1984"/>
          </w:tcPr>
          <w:p>
            <w:r>
              <w:rPr>
                <w:sz w:val="18"/>
              </w:rPr>
              <w:t>Sauvegardes</w:t>
            </w:r>
          </w:p>
        </w:tc>
        <w:tc>
          <w:tcPr>
            <w:tcW w:type="dxa" w:w="6236"/>
          </w:tcPr>
          <w:p>
            <w:r>
              <w:rPr>
                <w:sz w:val="18"/>
              </w:rPr>
              <w:t>Sauvegarde régulière de la base de données et des volumes Docker (dumps datés).</w:t>
            </w:r>
          </w:p>
        </w:tc>
      </w:tr>
      <w:tr>
        <w:tc>
          <w:tcPr>
            <w:tcW w:type="dxa" w:w="1984"/>
          </w:tcPr>
          <w:p>
            <w:r>
              <w:rPr>
                <w:sz w:val="18"/>
              </w:rPr>
              <w:t>Supervision</w:t>
            </w:r>
          </w:p>
        </w:tc>
        <w:tc>
          <w:tcPr>
            <w:tcW w:type="dxa" w:w="6236"/>
          </w:tcPr>
          <w:p>
            <w:r>
              <w:rPr>
                <w:sz w:val="18"/>
              </w:rPr>
              <w:t>Suivi de l'état des conteneurs et des ressources via le tableau de bord Portainer.</w:t>
            </w:r>
          </w:p>
        </w:tc>
      </w:tr>
      <w:tr>
        <w:tc>
          <w:tcPr>
            <w:tcW w:type="dxa" w:w="1984"/>
          </w:tcPr>
          <w:p>
            <w:r>
              <w:rPr>
                <w:sz w:val="18"/>
              </w:rPr>
              <w:t>Alertes</w:t>
            </w:r>
          </w:p>
        </w:tc>
        <w:tc>
          <w:tcPr>
            <w:tcW w:type="dxa" w:w="6236"/>
          </w:tcPr>
          <w:p>
            <w:r>
              <w:rPr>
                <w:sz w:val="18"/>
              </w:rPr>
              <w:t>Notification en cas d'échec d'un pipeline CI/CD (retour Gitea Actions).</w:t>
            </w:r>
          </w:p>
        </w:tc>
      </w:tr>
    </w:tbl>
    <w:p>
      <w:r>
        <w:rPr>
          <w:b w:val="0"/>
          <w:i w:val="0"/>
        </w:rPr>
        <w:t>Ce dispositif permet à l'équipe de production de détecter rapidement un incident, de consulter les journaux pour le diagnostic, et de restaurer un état antérieur si nécessaire.</w:t>
      </w:r>
    </w:p>
    <w:p>
      <w:r>
        <w:br w:type="page"/>
      </w:r>
    </w:p>
    <w:p>
      <w:pPr>
        <w:pStyle w:val="Heading1"/>
      </w:pPr>
      <w:r>
        <w:t>5. Plan de sécurisation</w:t>
      </w:r>
    </w:p>
    <w:p>
      <w:r>
        <w:rPr>
          <w:b w:val="0"/>
          <w:i w:val="0"/>
        </w:rPr>
        <w:t>S'agissant de données personnelles sensibles dans le cadre d'un projet ministériel, la sécurité est traitée à trois niveaux : applicatif, données (chiffrement), et infrastructure. Le plan s'appuie sur une analyse de risques préalable.</w:t>
      </w:r>
    </w:p>
    <w:p>
      <w:pPr>
        <w:pStyle w:val="Heading2"/>
      </w:pPr>
      <w:r>
        <w:t>5.1 Analyse des risques (approche OWASP)</w:t>
      </w:r>
    </w:p>
    <w:p>
      <w:r>
        <w:rPr>
          <w:b w:val="0"/>
          <w:i w:val="0"/>
        </w:rPr>
        <w:t>Les principaux risques ont été identifiés et associés à une mesure de traitement :</w:t>
      </w:r>
    </w:p>
    <w:tbl>
      <w:tblPr>
        <w:tblW w:type="auto" w:w="0"/>
        <w:jc w:val="center"/>
        <w:tblLook w:firstColumn="1" w:firstRow="1" w:lastColumn="0" w:lastRow="0" w:noHBand="0" w:noVBand="1" w:val="04A0"/>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Grid>
        <w:gridCol w:w="2880"/>
        <w:gridCol w:w="2880"/>
        <w:gridCol w:w="2880"/>
      </w:tblGrid>
      <w:tr>
        <w:tc>
          <w:tcPr>
            <w:tcW w:type="dxa" w:w="2268"/>
            <w:shd w:val="clear" w:fill="0F4761"/>
          </w:tcPr>
          <w:p>
            <w:r>
              <w:rPr>
                <w:b/>
                <w:color w:val="FFFFFF"/>
                <w:sz w:val="18"/>
              </w:rPr>
              <w:t>Risque</w:t>
            </w:r>
          </w:p>
        </w:tc>
        <w:tc>
          <w:tcPr>
            <w:tcW w:type="dxa" w:w="1417"/>
            <w:shd w:val="clear" w:fill="0F4761"/>
          </w:tcPr>
          <w:p>
            <w:r>
              <w:rPr>
                <w:b/>
                <w:color w:val="FFFFFF"/>
                <w:sz w:val="18"/>
              </w:rPr>
              <w:t>Impact</w:t>
            </w:r>
          </w:p>
        </w:tc>
        <w:tc>
          <w:tcPr>
            <w:tcW w:type="dxa" w:w="4535"/>
            <w:shd w:val="clear" w:fill="0F4761"/>
          </w:tcPr>
          <w:p>
            <w:r>
              <w:rPr>
                <w:b/>
                <w:color w:val="FFFFFF"/>
                <w:sz w:val="18"/>
              </w:rPr>
              <w:t>Mesure de prévention mise en place</w:t>
            </w:r>
          </w:p>
        </w:tc>
      </w:tr>
      <w:tr>
        <w:tc>
          <w:tcPr>
            <w:tcW w:type="dxa" w:w="2268"/>
          </w:tcPr>
          <w:p>
            <w:r>
              <w:rPr>
                <w:sz w:val="18"/>
              </w:rPr>
              <w:t>Injection SQL</w:t>
            </w:r>
          </w:p>
        </w:tc>
        <w:tc>
          <w:tcPr>
            <w:tcW w:type="dxa" w:w="1417"/>
          </w:tcPr>
          <w:p>
            <w:r>
              <w:rPr>
                <w:sz w:val="18"/>
              </w:rPr>
              <w:t>Élevé</w:t>
            </w:r>
          </w:p>
        </w:tc>
        <w:tc>
          <w:tcPr>
            <w:tcW w:type="dxa" w:w="4535"/>
          </w:tcPr>
          <w:p>
            <w:r>
              <w:rPr>
                <w:sz w:val="18"/>
              </w:rPr>
              <w:t>ORM Eloquent + requêtes préparées (PDO)</w:t>
            </w:r>
          </w:p>
        </w:tc>
      </w:tr>
      <w:tr>
        <w:tc>
          <w:tcPr>
            <w:tcW w:type="dxa" w:w="2268"/>
          </w:tcPr>
          <w:p>
            <w:r>
              <w:rPr>
                <w:sz w:val="18"/>
              </w:rPr>
              <w:t>Failles XSS</w:t>
            </w:r>
          </w:p>
        </w:tc>
        <w:tc>
          <w:tcPr>
            <w:tcW w:type="dxa" w:w="1417"/>
          </w:tcPr>
          <w:p>
            <w:r>
              <w:rPr>
                <w:sz w:val="18"/>
              </w:rPr>
              <w:t>Élevé</w:t>
            </w:r>
          </w:p>
        </w:tc>
        <w:tc>
          <w:tcPr>
            <w:tcW w:type="dxa" w:w="4535"/>
          </w:tcPr>
          <w:p>
            <w:r>
              <w:rPr>
                <w:sz w:val="18"/>
              </w:rPr>
              <w:t>Échappement Blade + en-tête CSP</w:t>
            </w:r>
          </w:p>
        </w:tc>
      </w:tr>
      <w:tr>
        <w:tc>
          <w:tcPr>
            <w:tcW w:type="dxa" w:w="2268"/>
          </w:tcPr>
          <w:p>
            <w:r>
              <w:rPr>
                <w:sz w:val="18"/>
              </w:rPr>
              <w:t>CSRF</w:t>
            </w:r>
          </w:p>
        </w:tc>
        <w:tc>
          <w:tcPr>
            <w:tcW w:type="dxa" w:w="1417"/>
          </w:tcPr>
          <w:p>
            <w:r>
              <w:rPr>
                <w:sz w:val="18"/>
              </w:rPr>
              <w:t>Moyen</w:t>
            </w:r>
          </w:p>
        </w:tc>
        <w:tc>
          <w:tcPr>
            <w:tcW w:type="dxa" w:w="4535"/>
          </w:tcPr>
          <w:p>
            <w:r>
              <w:rPr>
                <w:sz w:val="18"/>
              </w:rPr>
              <w:t>Jeton CSRF Laravel sur tous les formulaires</w:t>
            </w:r>
          </w:p>
        </w:tc>
      </w:tr>
      <w:tr>
        <w:tc>
          <w:tcPr>
            <w:tcW w:type="dxa" w:w="2268"/>
          </w:tcPr>
          <w:p>
            <w:r>
              <w:rPr>
                <w:sz w:val="18"/>
              </w:rPr>
              <w:t>Vol de session</w:t>
            </w:r>
          </w:p>
        </w:tc>
        <w:tc>
          <w:tcPr>
            <w:tcW w:type="dxa" w:w="1417"/>
          </w:tcPr>
          <w:p>
            <w:r>
              <w:rPr>
                <w:sz w:val="18"/>
              </w:rPr>
              <w:t>Élevé</w:t>
            </w:r>
          </w:p>
        </w:tc>
        <w:tc>
          <w:tcPr>
            <w:tcW w:type="dxa" w:w="4535"/>
          </w:tcPr>
          <w:p>
            <w:r>
              <w:rPr>
                <w:sz w:val="18"/>
              </w:rPr>
              <w:t>HTTPS forcé, cookies Secure/HttpOnly, HSTS</w:t>
            </w:r>
          </w:p>
        </w:tc>
      </w:tr>
      <w:tr>
        <w:tc>
          <w:tcPr>
            <w:tcW w:type="dxa" w:w="2268"/>
          </w:tcPr>
          <w:p>
            <w:r>
              <w:rPr>
                <w:sz w:val="18"/>
              </w:rPr>
              <w:t>Accès non autorisé</w:t>
            </w:r>
          </w:p>
        </w:tc>
        <w:tc>
          <w:tcPr>
            <w:tcW w:type="dxa" w:w="1417"/>
          </w:tcPr>
          <w:p>
            <w:r>
              <w:rPr>
                <w:sz w:val="18"/>
              </w:rPr>
              <w:t>Élevé</w:t>
            </w:r>
          </w:p>
        </w:tc>
        <w:tc>
          <w:tcPr>
            <w:tcW w:type="dxa" w:w="4535"/>
          </w:tcPr>
          <w:p>
            <w:r>
              <w:rPr>
                <w:sz w:val="18"/>
              </w:rPr>
              <w:t>Authentification + rôles (RBAC) + middleware</w:t>
            </w:r>
          </w:p>
        </w:tc>
      </w:tr>
      <w:tr>
        <w:tc>
          <w:tcPr>
            <w:tcW w:type="dxa" w:w="2268"/>
          </w:tcPr>
          <w:p>
            <w:r>
              <w:rPr>
                <w:sz w:val="18"/>
              </w:rPr>
              <w:t>Dépendances vulnérables</w:t>
            </w:r>
          </w:p>
        </w:tc>
        <w:tc>
          <w:tcPr>
            <w:tcW w:type="dxa" w:w="1417"/>
          </w:tcPr>
          <w:p>
            <w:r>
              <w:rPr>
                <w:sz w:val="18"/>
              </w:rPr>
              <w:t>Moyen</w:t>
            </w:r>
          </w:p>
        </w:tc>
        <w:tc>
          <w:tcPr>
            <w:tcW w:type="dxa" w:w="4535"/>
          </w:tcPr>
          <w:p>
            <w:r>
              <w:rPr>
                <w:sz w:val="18"/>
              </w:rPr>
              <w:t>composer audit / npm audit dans la CI</w:t>
            </w:r>
          </w:p>
        </w:tc>
      </w:tr>
      <w:tr>
        <w:tc>
          <w:tcPr>
            <w:tcW w:type="dxa" w:w="2268"/>
          </w:tcPr>
          <w:p>
            <w:r>
              <w:rPr>
                <w:sz w:val="18"/>
              </w:rPr>
              <w:t>Force brute (login)</w:t>
            </w:r>
          </w:p>
        </w:tc>
        <w:tc>
          <w:tcPr>
            <w:tcW w:type="dxa" w:w="1417"/>
          </w:tcPr>
          <w:p>
            <w:r>
              <w:rPr>
                <w:sz w:val="18"/>
              </w:rPr>
              <w:t>Moyen</w:t>
            </w:r>
          </w:p>
        </w:tc>
        <w:tc>
          <w:tcPr>
            <w:tcW w:type="dxa" w:w="4535"/>
          </w:tcPr>
          <w:p>
            <w:r>
              <w:rPr>
                <w:sz w:val="18"/>
              </w:rPr>
              <w:t>Limitation de débit (rate limiting) Laravel</w:t>
            </w:r>
          </w:p>
        </w:tc>
      </w:tr>
      <w:tr>
        <w:tc>
          <w:tcPr>
            <w:tcW w:type="dxa" w:w="2268"/>
          </w:tcPr>
          <w:p>
            <w:r>
              <w:rPr>
                <w:sz w:val="18"/>
              </w:rPr>
              <w:t>Fuite d'informations</w:t>
            </w:r>
          </w:p>
        </w:tc>
        <w:tc>
          <w:tcPr>
            <w:tcW w:type="dxa" w:w="1417"/>
          </w:tcPr>
          <w:p>
            <w:r>
              <w:rPr>
                <w:sz w:val="18"/>
              </w:rPr>
              <w:t>Moyen</w:t>
            </w:r>
          </w:p>
        </w:tc>
        <w:tc>
          <w:tcPr>
            <w:tcW w:type="dxa" w:w="4535"/>
          </w:tcPr>
          <w:p>
            <w:r>
              <w:rPr>
                <w:sz w:val="18"/>
              </w:rPr>
              <w:t>APP_DEBUG=false, gestion des erreurs en prod</w:t>
            </w:r>
          </w:p>
        </w:tc>
      </w:tr>
    </w:tbl>
    <w:p>
      <w:pPr>
        <w:pStyle w:val="Heading2"/>
      </w:pPr>
      <w:r>
        <w:t>5.2 Sécurité applicative</w:t>
      </w:r>
    </w:p>
    <w:p>
      <w:pPr>
        <w:pStyle w:val="ListBullet"/>
      </w:pPr>
      <w:r>
        <w:t>Authentification : sessions sécurisées pour le Web, jetons Laravel Sanctum pour l'API mobile ;</w:t>
      </w:r>
    </w:p>
    <w:p>
      <w:pPr>
        <w:pStyle w:val="ListBullet"/>
      </w:pPr>
      <w:r>
        <w:t>Contrôle d'accès : gestion des rôles (Citoyen, Modérateur, Administrateur, Super-Administrateur) et restriction de l'accès au Back-Office (compte actif + rôle Admin) ;</w:t>
      </w:r>
    </w:p>
    <w:p>
      <w:pPr>
        <w:pStyle w:val="ListBullet"/>
      </w:pPr>
      <w:r>
        <w:t>Validation des entrées : règles de validation systématiques (Form Requests) ;</w:t>
      </w:r>
    </w:p>
    <w:p>
      <w:pPr>
        <w:pStyle w:val="ListBullet"/>
      </w:pPr>
      <w:r>
        <w:t>En-têtes de sécurité HTTP : middleware dédié appliquant X-Frame-Options, X-Content-Type-Options, Referrer-Policy, Permissions-Policy, Content-Security-Policy et HSTS ;</w:t>
      </w:r>
    </w:p>
    <w:p>
      <w:pPr>
        <w:pStyle w:val="ListBullet"/>
      </w:pPr>
      <w:r>
        <w:t>Bonnes pratiques : code commenté, style normalisé (Pint), tests automatisés, revues de code via Pull Requests.</w:t>
      </w:r>
    </w:p>
    <w:p>
      <w:pPr>
        <w:pStyle w:val="Heading2"/>
      </w:pPr>
      <w:r>
        <w:t>5.3 Chiffrement des données</w:t>
      </w:r>
    </w:p>
    <w:tbl>
      <w:tblPr>
        <w:tblW w:type="auto" w:w="0"/>
        <w:jc w:val="center"/>
        <w:tblLook w:firstColumn="1" w:firstRow="1" w:lastColumn="0" w:lastRow="0" w:noHBand="0" w:noVBand="1" w:val="04A0"/>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Grid>
        <w:gridCol w:w="4320"/>
        <w:gridCol w:w="4320"/>
      </w:tblGrid>
      <w:tr>
        <w:tc>
          <w:tcPr>
            <w:tcW w:type="dxa" w:w="2551"/>
            <w:shd w:val="clear" w:fill="0F4761"/>
          </w:tcPr>
          <w:p>
            <w:r>
              <w:rPr>
                <w:b/>
                <w:color w:val="FFFFFF"/>
                <w:sz w:val="18"/>
              </w:rPr>
              <w:t>Donnée</w:t>
            </w:r>
          </w:p>
        </w:tc>
        <w:tc>
          <w:tcPr>
            <w:tcW w:type="dxa" w:w="5669"/>
            <w:shd w:val="clear" w:fill="0F4761"/>
          </w:tcPr>
          <w:p>
            <w:r>
              <w:rPr>
                <w:b/>
                <w:color w:val="FFFFFF"/>
                <w:sz w:val="18"/>
              </w:rPr>
              <w:t>Mécanisme de protection</w:t>
            </w:r>
          </w:p>
        </w:tc>
      </w:tr>
      <w:tr>
        <w:tc>
          <w:tcPr>
            <w:tcW w:type="dxa" w:w="2551"/>
          </w:tcPr>
          <w:p>
            <w:r>
              <w:rPr>
                <w:sz w:val="18"/>
              </w:rPr>
              <w:t>Échanges réseau</w:t>
            </w:r>
          </w:p>
        </w:tc>
        <w:tc>
          <w:tcPr>
            <w:tcW w:type="dxa" w:w="5669"/>
          </w:tcPr>
          <w:p>
            <w:r>
              <w:rPr>
                <w:sz w:val="18"/>
              </w:rPr>
              <w:t>Chiffrement TLS 1.2+ (HTTPS via Let's Encrypt)</w:t>
            </w:r>
          </w:p>
        </w:tc>
      </w:tr>
      <w:tr>
        <w:tc>
          <w:tcPr>
            <w:tcW w:type="dxa" w:w="2551"/>
          </w:tcPr>
          <w:p>
            <w:r>
              <w:rPr>
                <w:sz w:val="18"/>
              </w:rPr>
              <w:t>Mots de passe</w:t>
            </w:r>
          </w:p>
        </w:tc>
        <w:tc>
          <w:tcPr>
            <w:tcW w:type="dxa" w:w="5669"/>
          </w:tcPr>
          <w:p>
            <w:r>
              <w:rPr>
                <w:sz w:val="18"/>
              </w:rPr>
              <w:t>Hachage bcrypt (12 tours) – non réversible</w:t>
            </w:r>
          </w:p>
        </w:tc>
      </w:tr>
      <w:tr>
        <w:tc>
          <w:tcPr>
            <w:tcW w:type="dxa" w:w="2551"/>
          </w:tcPr>
          <w:p>
            <w:r>
              <w:rPr>
                <w:sz w:val="18"/>
              </w:rPr>
              <w:t>Données de session</w:t>
            </w:r>
          </w:p>
        </w:tc>
        <w:tc>
          <w:tcPr>
            <w:tcW w:type="dxa" w:w="5669"/>
          </w:tcPr>
          <w:p>
            <w:r>
              <w:rPr>
                <w:sz w:val="18"/>
              </w:rPr>
              <w:t>Chiffrement applicatif (SESSION_ENCRYPT=true)</w:t>
            </w:r>
          </w:p>
        </w:tc>
      </w:tr>
      <w:tr>
        <w:tc>
          <w:tcPr>
            <w:tcW w:type="dxa" w:w="2551"/>
          </w:tcPr>
          <w:p>
            <w:r>
              <w:rPr>
                <w:sz w:val="18"/>
              </w:rPr>
              <w:t>Jetons API</w:t>
            </w:r>
          </w:p>
        </w:tc>
        <w:tc>
          <w:tcPr>
            <w:tcW w:type="dxa" w:w="5669"/>
          </w:tcPr>
          <w:p>
            <w:r>
              <w:rPr>
                <w:sz w:val="18"/>
              </w:rPr>
              <w:t>Stockés hachés en base (Sanctum)</w:t>
            </w:r>
          </w:p>
        </w:tc>
      </w:tr>
      <w:tr>
        <w:tc>
          <w:tcPr>
            <w:tcW w:type="dxa" w:w="2551"/>
          </w:tcPr>
          <w:p>
            <w:r>
              <w:rPr>
                <w:sz w:val="18"/>
              </w:rPr>
              <w:t>Clés &amp; secrets</w:t>
            </w:r>
          </w:p>
        </w:tc>
        <w:tc>
          <w:tcPr>
            <w:tcW w:type="dxa" w:w="5669"/>
          </w:tcPr>
          <w:p>
            <w:r>
              <w:rPr>
                <w:sz w:val="18"/>
              </w:rPr>
              <w:t>Variables d'environnement (.env non versionné)</w:t>
            </w:r>
          </w:p>
        </w:tc>
      </w:tr>
    </w:tbl>
    <w:p>
      <w:pPr>
        <w:pStyle w:val="Heading2"/>
      </w:pPr>
      <w:r>
        <w:t>5.4 Conformité RGPD</w:t>
      </w:r>
    </w:p>
    <w:p>
      <w:r>
        <w:rPr>
          <w:b w:val="0"/>
          <w:i w:val="0"/>
        </w:rPr>
        <w:t>Le traitement des données à caractère personnel respecte les principes du Règlement Général sur la Protection des Données :</w:t>
      </w:r>
    </w:p>
    <w:p>
      <w:pPr>
        <w:pStyle w:val="ListBullet"/>
      </w:pPr>
      <w:r>
        <w:t>Minimisation : seules les données strictement nécessaires sont collectées ;</w:t>
      </w:r>
    </w:p>
    <w:p>
      <w:pPr>
        <w:pStyle w:val="ListBullet"/>
      </w:pPr>
      <w:r>
        <w:t>Consentement : information de l'usager lors de la création de compte ;</w:t>
      </w:r>
    </w:p>
    <w:p>
      <w:pPr>
        <w:pStyle w:val="ListBullet"/>
      </w:pPr>
      <w:r>
        <w:t>Droit à l'effacement : l'utilisateur peut supprimer son compte et ses données ;</w:t>
      </w:r>
    </w:p>
    <w:p>
      <w:pPr>
        <w:pStyle w:val="ListBullet"/>
      </w:pPr>
      <w:r>
        <w:t>Droit d'accès et de rectification : l'usager peut consulter et modifier son profil ;</w:t>
      </w:r>
    </w:p>
    <w:p>
      <w:pPr>
        <w:pStyle w:val="ListBullet"/>
      </w:pPr>
      <w:r>
        <w:t>Anonymisation : les statistiques agrégées ne permettent pas d'identifier un individu ;</w:t>
      </w:r>
    </w:p>
    <w:p>
      <w:pPr>
        <w:pStyle w:val="ListBullet"/>
      </w:pPr>
      <w:r>
        <w:t>Sécurité : chiffrement et contrôle d'accès garantissant la confidentialité (art. 32 RGPD).</w:t>
      </w:r>
    </w:p>
    <w:p>
      <w:pPr>
        <w:pStyle w:val="Heading2"/>
      </w:pPr>
      <w:r>
        <w:t>5.5 Sécurité de l'infrastructure</w:t>
      </w:r>
    </w:p>
    <w:p>
      <w:pPr>
        <w:pStyle w:val="ListBullet"/>
      </w:pPr>
      <w:r>
        <w:t>Reverse proxy (Nginx Proxy Manager) filtrant les accès et terminant le TLS ;</w:t>
      </w:r>
    </w:p>
    <w:p>
      <w:pPr>
        <w:pStyle w:val="ListBullet"/>
      </w:pPr>
      <w:r>
        <w:t>Confiance au proxy configurée dans Laravel (trustProxies) pour une détection correcte du HTTPS ;</w:t>
      </w:r>
    </w:p>
    <w:p>
      <w:pPr>
        <w:pStyle w:val="ListBullet"/>
      </w:pPr>
      <w:r>
        <w:t>Exposition réseau minimale : seuls les ports 80/443 sont publiés, les conteneurs communiquant sur un réseau Docker privé ;</w:t>
      </w:r>
    </w:p>
    <w:p>
      <w:pPr>
        <w:pStyle w:val="ListBullet"/>
      </w:pPr>
      <w:r>
        <w:t>Gestion des secrets via variables d'environnement, jamais dans le dépôt Git ;</w:t>
      </w:r>
    </w:p>
    <w:p>
      <w:pPr>
        <w:pStyle w:val="ListBullet"/>
      </w:pPr>
      <w:r>
        <w:t>Sauvegardes régulières de la base de données et des volumes ;</w:t>
      </w:r>
    </w:p>
    <w:p>
      <w:pPr>
        <w:pStyle w:val="ListBullet"/>
      </w:pPr>
      <w:r>
        <w:t>Mises à jour de sécurité suivies grâce aux audits automatisés de dépendances.</w:t>
      </w:r>
    </w:p>
    <w:p>
      <w:pPr>
        <w:pStyle w:val="Heading2"/>
      </w:pPr>
      <w:r>
        <w:t>5.6 Registre de traitement RGPD (simplifié)</w:t>
      </w:r>
    </w:p>
    <w:p>
      <w:r>
        <w:rPr>
          <w:b w:val="0"/>
          <w:i w:val="0"/>
        </w:rPr>
        <w:t>Conformément à l'article 30 du RGPD, les principaux traitements de données à caractère personnel sont recensés :</w:t>
      </w:r>
    </w:p>
    <w:tbl>
      <w:tblPr>
        <w:tblW w:type="auto" w:w="0"/>
        <w:jc w:val="center"/>
        <w:tblLook w:firstColumn="1" w:firstRow="1" w:lastColumn="0" w:lastRow="0" w:noHBand="0" w:noVBand="1" w:val="04A0"/>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Grid>
        <w:gridCol w:w="2160"/>
        <w:gridCol w:w="2160"/>
        <w:gridCol w:w="2160"/>
        <w:gridCol w:w="2160"/>
      </w:tblGrid>
      <w:tr>
        <w:tc>
          <w:tcPr>
            <w:tcW w:type="dxa" w:w="1871"/>
            <w:shd w:val="clear" w:fill="0F4761"/>
          </w:tcPr>
          <w:p>
            <w:r>
              <w:rPr>
                <w:b/>
                <w:color w:val="FFFFFF"/>
                <w:sz w:val="18"/>
              </w:rPr>
              <w:t>Traitement</w:t>
            </w:r>
          </w:p>
        </w:tc>
        <w:tc>
          <w:tcPr>
            <w:tcW w:type="dxa" w:w="2381"/>
            <w:shd w:val="clear" w:fill="0F4761"/>
          </w:tcPr>
          <w:p>
            <w:r>
              <w:rPr>
                <w:b/>
                <w:color w:val="FFFFFF"/>
                <w:sz w:val="18"/>
              </w:rPr>
              <w:t>Données concernées</w:t>
            </w:r>
          </w:p>
        </w:tc>
        <w:tc>
          <w:tcPr>
            <w:tcW w:type="dxa" w:w="2268"/>
            <w:shd w:val="clear" w:fill="0F4761"/>
          </w:tcPr>
          <w:p>
            <w:r>
              <w:rPr>
                <w:b/>
                <w:color w:val="FFFFFF"/>
                <w:sz w:val="18"/>
              </w:rPr>
              <w:t>Finalité</w:t>
            </w:r>
          </w:p>
        </w:tc>
        <w:tc>
          <w:tcPr>
            <w:tcW w:type="dxa" w:w="1701"/>
            <w:shd w:val="clear" w:fill="0F4761"/>
          </w:tcPr>
          <w:p>
            <w:r>
              <w:rPr>
                <w:b/>
                <w:color w:val="FFFFFF"/>
                <w:sz w:val="18"/>
              </w:rPr>
              <w:t>Durée de conservation</w:t>
            </w:r>
          </w:p>
        </w:tc>
      </w:tr>
      <w:tr>
        <w:tc>
          <w:tcPr>
            <w:tcW w:type="dxa" w:w="1871"/>
          </w:tcPr>
          <w:p>
            <w:r>
              <w:rPr>
                <w:sz w:val="18"/>
              </w:rPr>
              <w:t>Compte utilisateur</w:t>
            </w:r>
          </w:p>
        </w:tc>
        <w:tc>
          <w:tcPr>
            <w:tcW w:type="dxa" w:w="2381"/>
          </w:tcPr>
          <w:p>
            <w:r>
              <w:rPr>
                <w:sz w:val="18"/>
              </w:rPr>
              <w:t>Nom, e-mail, mot de passe (haché)</w:t>
            </w:r>
          </w:p>
        </w:tc>
        <w:tc>
          <w:tcPr>
            <w:tcW w:type="dxa" w:w="2268"/>
          </w:tcPr>
          <w:p>
            <w:r>
              <w:rPr>
                <w:sz w:val="18"/>
              </w:rPr>
              <w:t>Authentification, personnalisation</w:t>
            </w:r>
          </w:p>
        </w:tc>
        <w:tc>
          <w:tcPr>
            <w:tcW w:type="dxa" w:w="1701"/>
          </w:tcPr>
          <w:p>
            <w:r>
              <w:rPr>
                <w:sz w:val="18"/>
              </w:rPr>
              <w:t>Jusqu'à suppression du compte</w:t>
            </w:r>
          </w:p>
        </w:tc>
      </w:tr>
      <w:tr>
        <w:tc>
          <w:tcPr>
            <w:tcW w:type="dxa" w:w="1871"/>
          </w:tcPr>
          <w:p>
            <w:r>
              <w:rPr>
                <w:sz w:val="18"/>
              </w:rPr>
              <w:t>Tracker émotionnel</w:t>
            </w:r>
          </w:p>
        </w:tc>
        <w:tc>
          <w:tcPr>
            <w:tcW w:type="dxa" w:w="2381"/>
          </w:tcPr>
          <w:p>
            <w:r>
              <w:rPr>
                <w:sz w:val="18"/>
              </w:rPr>
              <w:t>Humeur, intensité, notes</w:t>
            </w:r>
          </w:p>
        </w:tc>
        <w:tc>
          <w:tcPr>
            <w:tcW w:type="dxa" w:w="2268"/>
          </w:tcPr>
          <w:p>
            <w:r>
              <w:rPr>
                <w:sz w:val="18"/>
              </w:rPr>
              <w:t>Suivi du bien-être de l'usager</w:t>
            </w:r>
          </w:p>
        </w:tc>
        <w:tc>
          <w:tcPr>
            <w:tcW w:type="dxa" w:w="1701"/>
          </w:tcPr>
          <w:p>
            <w:r>
              <w:rPr>
                <w:sz w:val="18"/>
              </w:rPr>
              <w:t>Supprimé avec le compte</w:t>
            </w:r>
          </w:p>
        </w:tc>
      </w:tr>
      <w:tr>
        <w:tc>
          <w:tcPr>
            <w:tcW w:type="dxa" w:w="1871"/>
          </w:tcPr>
          <w:p>
            <w:r>
              <w:rPr>
                <w:sz w:val="18"/>
              </w:rPr>
              <w:t>Diagnostic de stress</w:t>
            </w:r>
          </w:p>
        </w:tc>
        <w:tc>
          <w:tcPr>
            <w:tcW w:type="dxa" w:w="2381"/>
          </w:tcPr>
          <w:p>
            <w:r>
              <w:rPr>
                <w:sz w:val="18"/>
              </w:rPr>
              <w:t>Score, événements cochés</w:t>
            </w:r>
          </w:p>
        </w:tc>
        <w:tc>
          <w:tcPr>
            <w:tcW w:type="dxa" w:w="2268"/>
          </w:tcPr>
          <w:p>
            <w:r>
              <w:rPr>
                <w:sz w:val="18"/>
              </w:rPr>
              <w:t>Restitution du diagnostic</w:t>
            </w:r>
          </w:p>
        </w:tc>
        <w:tc>
          <w:tcPr>
            <w:tcW w:type="dxa" w:w="1701"/>
          </w:tcPr>
          <w:p>
            <w:r>
              <w:rPr>
                <w:sz w:val="18"/>
              </w:rPr>
              <w:t>Supprimé avec le compte</w:t>
            </w:r>
          </w:p>
        </w:tc>
      </w:tr>
      <w:tr>
        <w:tc>
          <w:tcPr>
            <w:tcW w:type="dxa" w:w="1871"/>
          </w:tcPr>
          <w:p>
            <w:r>
              <w:rPr>
                <w:sz w:val="18"/>
              </w:rPr>
              <w:t>Statistiques</w:t>
            </w:r>
          </w:p>
        </w:tc>
        <w:tc>
          <w:tcPr>
            <w:tcW w:type="dxa" w:w="2381"/>
          </w:tcPr>
          <w:p>
            <w:r>
              <w:rPr>
                <w:sz w:val="18"/>
              </w:rPr>
              <w:t>Données agrégées / anonymisées</w:t>
            </w:r>
          </w:p>
        </w:tc>
        <w:tc>
          <w:tcPr>
            <w:tcW w:type="dxa" w:w="2268"/>
          </w:tcPr>
          <w:p>
            <w:r>
              <w:rPr>
                <w:sz w:val="18"/>
              </w:rPr>
              <w:t>Pilotage, amélioration du service</w:t>
            </w:r>
          </w:p>
        </w:tc>
        <w:tc>
          <w:tcPr>
            <w:tcW w:type="dxa" w:w="1701"/>
          </w:tcPr>
          <w:p>
            <w:r>
              <w:rPr>
                <w:sz w:val="18"/>
              </w:rPr>
              <w:t>Illimitée (anonyme)</w:t>
            </w:r>
          </w:p>
        </w:tc>
      </w:tr>
    </w:tbl>
    <w:p>
      <w:pPr>
        <w:pStyle w:val="Heading2"/>
      </w:pPr>
      <w:r>
        <w:t>5.7 Politique de sécurité</w:t>
      </w:r>
    </w:p>
    <w:p>
      <w:r>
        <w:rPr>
          <w:b w:val="0"/>
          <w:i w:val="0"/>
        </w:rPr>
        <w:t>Une politique de sécurité (fichier SECURITY.md) formalise la procédure de signalement responsable des vulnérabilités et les engagements de délai de correction, complétant le dispositif de maintenance corrective.</w:t>
      </w:r>
    </w:p>
    <w:p>
      <w:pPr>
        <w:pStyle w:val="Heading1"/>
      </w:pPr>
      <w:r>
        <w:t>6. Organisation et gestion de projet</w:t>
      </w:r>
    </w:p>
    <w:p>
      <w:r>
        <w:rPr>
          <w:b w:val="0"/>
          <w:i w:val="0"/>
        </w:rPr>
        <w:t>La réussite du déploiement et de la sécurisation repose autant sur les outils que sur l'organisation mise en place autour d'eux.</w:t>
      </w:r>
    </w:p>
    <w:p>
      <w:pPr>
        <w:pStyle w:val="Heading2"/>
      </w:pPr>
      <w:r>
        <w:t>6.1 Méthodologie</w:t>
      </w:r>
    </w:p>
    <w:p>
      <w:r>
        <w:rPr>
          <w:b w:val="0"/>
          <w:i w:val="0"/>
        </w:rPr>
        <w:t>Le projet a été conduit selon une approche itérative et incrémentale, chaque fonctionnalité ou correctif suivant le même cycle : ticket → branche → développement → Pull Request → contrôle automatisé (CI) → revue → fusion → déploiement (CD). Cette démarche d'amélioration continue garantit qu'aucune régression n'atteint la production.</w:t>
      </w:r>
    </w:p>
    <w:p>
      <w:pPr>
        <w:pStyle w:val="Heading2"/>
      </w:pPr>
      <w:r>
        <w:t>6.2 Traçabilité et pilotage</w:t>
      </w:r>
    </w:p>
    <w:p>
      <w:r>
        <w:rPr>
          <w:b w:val="0"/>
          <w:i w:val="0"/>
        </w:rPr>
        <w:t>Gitea centralise l'ensemble des artefacts de pilotage : dépôt de code, tickets, jalons (milestones), tableau Kanban et exécutions des pipelines. Cette centralisation offre une vision unifiée de l'avancement et facilite la coordination.</w:t>
      </w:r>
    </w:p>
    <w:tbl>
      <w:tblPr>
        <w:tblW w:type="auto" w:w="0"/>
        <w:jc w:val="center"/>
        <w:tblLook w:firstColumn="1" w:firstRow="1" w:lastColumn="0" w:lastRow="0" w:noHBand="0" w:noVBand="1" w:val="04A0"/>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Grid>
        <w:gridCol w:w="4320"/>
        <w:gridCol w:w="4320"/>
      </w:tblGrid>
      <w:tr>
        <w:tc>
          <w:tcPr>
            <w:tcW w:type="dxa" w:w="3685"/>
            <w:shd w:val="clear" w:fill="0F4761"/>
          </w:tcPr>
          <w:p>
            <w:r>
              <w:rPr>
                <w:b/>
                <w:color w:val="FFFFFF"/>
                <w:sz w:val="18"/>
              </w:rPr>
              <w:t>Besoin</w:t>
            </w:r>
          </w:p>
        </w:tc>
        <w:tc>
          <w:tcPr>
            <w:tcW w:type="dxa" w:w="4535"/>
            <w:shd w:val="clear" w:fill="0F4761"/>
          </w:tcPr>
          <w:p>
            <w:r>
              <w:rPr>
                <w:b/>
                <w:color w:val="FFFFFF"/>
                <w:sz w:val="18"/>
              </w:rPr>
              <w:t>Outil mobilisé</w:t>
            </w:r>
          </w:p>
        </w:tc>
      </w:tr>
      <w:tr>
        <w:tc>
          <w:tcPr>
            <w:tcW w:type="dxa" w:w="3685"/>
          </w:tcPr>
          <w:p>
            <w:r>
              <w:rPr>
                <w:sz w:val="18"/>
              </w:rPr>
              <w:t>Gestion du code source</w:t>
            </w:r>
          </w:p>
        </w:tc>
        <w:tc>
          <w:tcPr>
            <w:tcW w:type="dxa" w:w="4535"/>
          </w:tcPr>
          <w:p>
            <w:r>
              <w:rPr>
                <w:sz w:val="18"/>
              </w:rPr>
              <w:t>Git / Gitea</w:t>
            </w:r>
          </w:p>
        </w:tc>
      </w:tr>
      <w:tr>
        <w:tc>
          <w:tcPr>
            <w:tcW w:type="dxa" w:w="3685"/>
          </w:tcPr>
          <w:p>
            <w:r>
              <w:rPr>
                <w:sz w:val="18"/>
              </w:rPr>
              <w:t>Suivi des tâches et incidents</w:t>
            </w:r>
          </w:p>
        </w:tc>
        <w:tc>
          <w:tcPr>
            <w:tcW w:type="dxa" w:w="4535"/>
          </w:tcPr>
          <w:p>
            <w:r>
              <w:rPr>
                <w:sz w:val="18"/>
              </w:rPr>
              <w:t>Gitea Issues + Projects (Kanban)</w:t>
            </w:r>
          </w:p>
        </w:tc>
      </w:tr>
      <w:tr>
        <w:tc>
          <w:tcPr>
            <w:tcW w:type="dxa" w:w="3685"/>
          </w:tcPr>
          <w:p>
            <w:r>
              <w:rPr>
                <w:sz w:val="18"/>
              </w:rPr>
              <w:t>Planification des versions</w:t>
            </w:r>
          </w:p>
        </w:tc>
        <w:tc>
          <w:tcPr>
            <w:tcW w:type="dxa" w:w="4535"/>
          </w:tcPr>
          <w:p>
            <w:r>
              <w:rPr>
                <w:sz w:val="18"/>
              </w:rPr>
              <w:t>Milestones Gitea + SemVer</w:t>
            </w:r>
          </w:p>
        </w:tc>
      </w:tr>
      <w:tr>
        <w:tc>
          <w:tcPr>
            <w:tcW w:type="dxa" w:w="3685"/>
          </w:tcPr>
          <w:p>
            <w:r>
              <w:rPr>
                <w:sz w:val="18"/>
              </w:rPr>
              <w:t>Automatisation qualité et livraison</w:t>
            </w:r>
          </w:p>
        </w:tc>
        <w:tc>
          <w:tcPr>
            <w:tcW w:type="dxa" w:w="4535"/>
          </w:tcPr>
          <w:p>
            <w:r>
              <w:rPr>
                <w:sz w:val="18"/>
              </w:rPr>
              <w:t>Gitea Actions (CI/CD)</w:t>
            </w:r>
          </w:p>
        </w:tc>
      </w:tr>
      <w:tr>
        <w:tc>
          <w:tcPr>
            <w:tcW w:type="dxa" w:w="3685"/>
          </w:tcPr>
          <w:p>
            <w:r>
              <w:rPr>
                <w:sz w:val="18"/>
              </w:rPr>
              <w:t>Orchestration de production</w:t>
            </w:r>
          </w:p>
        </w:tc>
        <w:tc>
          <w:tcPr>
            <w:tcW w:type="dxa" w:w="4535"/>
          </w:tcPr>
          <w:p>
            <w:r>
              <w:rPr>
                <w:sz w:val="18"/>
              </w:rPr>
              <w:t>Portainer</w:t>
            </w:r>
          </w:p>
        </w:tc>
      </w:tr>
      <w:tr>
        <w:tc>
          <w:tcPr>
            <w:tcW w:type="dxa" w:w="3685"/>
          </w:tcPr>
          <w:p>
            <w:r>
              <w:rPr>
                <w:sz w:val="18"/>
              </w:rPr>
              <w:t>Documentation</w:t>
            </w:r>
          </w:p>
        </w:tc>
        <w:tc>
          <w:tcPr>
            <w:tcW w:type="dxa" w:w="4535"/>
          </w:tcPr>
          <w:p>
            <w:r>
              <w:rPr>
                <w:sz w:val="18"/>
              </w:rPr>
              <w:t>Dépôt docs/ + CHANGELOG.md</w:t>
            </w:r>
          </w:p>
        </w:tc>
      </w:tr>
    </w:tbl>
    <w:p>
      <w:pPr>
        <w:pStyle w:val="Heading2"/>
      </w:pPr>
      <w:r>
        <w:t>6.3 Déroulement du projet</w:t>
      </w:r>
    </w:p>
    <w:p>
      <w:r>
        <w:rPr>
          <w:b w:val="0"/>
          <w:i w:val="0"/>
        </w:rPr>
        <w:t>Le projet a été mené par phases successives, chacune produisant un livrable intermédiaire validé avant de passer à la suivante :</w:t>
      </w:r>
    </w:p>
    <w:tbl>
      <w:tblPr>
        <w:tblW w:type="auto" w:w="0"/>
        <w:jc w:val="center"/>
        <w:tblLook w:firstColumn="1" w:firstRow="1" w:lastColumn="0" w:lastRow="0" w:noHBand="0" w:noVBand="1" w:val="04A0"/>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Grid>
        <w:gridCol w:w="2880"/>
        <w:gridCol w:w="2880"/>
        <w:gridCol w:w="2880"/>
      </w:tblGrid>
      <w:tr>
        <w:tc>
          <w:tcPr>
            <w:tcW w:type="dxa" w:w="1701"/>
            <w:shd w:val="clear" w:fill="0F4761"/>
          </w:tcPr>
          <w:p>
            <w:r>
              <w:rPr>
                <w:b/>
                <w:color w:val="FFFFFF"/>
                <w:sz w:val="18"/>
              </w:rPr>
              <w:t>Phase</w:t>
            </w:r>
          </w:p>
        </w:tc>
        <w:tc>
          <w:tcPr>
            <w:tcW w:type="dxa" w:w="4535"/>
            <w:shd w:val="clear" w:fill="0F4761"/>
          </w:tcPr>
          <w:p>
            <w:r>
              <w:rPr>
                <w:b/>
                <w:color w:val="FFFFFF"/>
                <w:sz w:val="18"/>
              </w:rPr>
              <w:t>Activités</w:t>
            </w:r>
          </w:p>
        </w:tc>
        <w:tc>
          <w:tcPr>
            <w:tcW w:type="dxa" w:w="1984"/>
            <w:shd w:val="clear" w:fill="0F4761"/>
          </w:tcPr>
          <w:p>
            <w:r>
              <w:rPr>
                <w:b/>
                <w:color w:val="FFFFFF"/>
                <w:sz w:val="18"/>
              </w:rPr>
              <w:t>Livrable</w:t>
            </w:r>
          </w:p>
        </w:tc>
      </w:tr>
      <w:tr>
        <w:tc>
          <w:tcPr>
            <w:tcW w:type="dxa" w:w="1701"/>
          </w:tcPr>
          <w:p>
            <w:r>
              <w:rPr>
                <w:sz w:val="18"/>
              </w:rPr>
              <w:t>Cadrage</w:t>
            </w:r>
          </w:p>
        </w:tc>
        <w:tc>
          <w:tcPr>
            <w:tcW w:type="dxa" w:w="4535"/>
          </w:tcPr>
          <w:p>
            <w:r>
              <w:rPr>
                <w:sz w:val="18"/>
              </w:rPr>
              <w:t>Analyse du besoin, choix des outils (Gitea, Docker, Portainer)</w:t>
            </w:r>
          </w:p>
        </w:tc>
        <w:tc>
          <w:tcPr>
            <w:tcW w:type="dxa" w:w="1984"/>
          </w:tcPr>
          <w:p>
            <w:r>
              <w:rPr>
                <w:sz w:val="18"/>
              </w:rPr>
              <w:t>Note de cadrage technique</w:t>
            </w:r>
          </w:p>
        </w:tc>
      </w:tr>
      <w:tr>
        <w:tc>
          <w:tcPr>
            <w:tcW w:type="dxa" w:w="1701"/>
          </w:tcPr>
          <w:p>
            <w:r>
              <w:rPr>
                <w:sz w:val="18"/>
              </w:rPr>
              <w:t>Versioning</w:t>
            </w:r>
          </w:p>
        </w:tc>
        <w:tc>
          <w:tcPr>
            <w:tcW w:type="dxa" w:w="4535"/>
          </w:tcPr>
          <w:p>
            <w:r>
              <w:rPr>
                <w:sz w:val="18"/>
              </w:rPr>
              <w:t>Mise en place du dépôt Gitea et de la stratégie de branches</w:t>
            </w:r>
          </w:p>
        </w:tc>
        <w:tc>
          <w:tcPr>
            <w:tcW w:type="dxa" w:w="1984"/>
          </w:tcPr>
          <w:p>
            <w:r>
              <w:rPr>
                <w:sz w:val="18"/>
              </w:rPr>
              <w:t>Dépôt structuré + conventions</w:t>
            </w:r>
          </w:p>
        </w:tc>
      </w:tr>
      <w:tr>
        <w:tc>
          <w:tcPr>
            <w:tcW w:type="dxa" w:w="1701"/>
          </w:tcPr>
          <w:p>
            <w:r>
              <w:rPr>
                <w:sz w:val="18"/>
              </w:rPr>
              <w:t>Conteneurisation</w:t>
            </w:r>
          </w:p>
        </w:tc>
        <w:tc>
          <w:tcPr>
            <w:tcW w:type="dxa" w:w="4535"/>
          </w:tcPr>
          <w:p>
            <w:r>
              <w:rPr>
                <w:sz w:val="18"/>
              </w:rPr>
              <w:t>Rédaction du Dockerfile et de docker-compose</w:t>
            </w:r>
          </w:p>
        </w:tc>
        <w:tc>
          <w:tcPr>
            <w:tcW w:type="dxa" w:w="1984"/>
          </w:tcPr>
          <w:p>
            <w:r>
              <w:rPr>
                <w:sz w:val="18"/>
              </w:rPr>
              <w:t>Image applicative fonctionnelle</w:t>
            </w:r>
          </w:p>
        </w:tc>
      </w:tr>
      <w:tr>
        <w:tc>
          <w:tcPr>
            <w:tcW w:type="dxa" w:w="1701"/>
          </w:tcPr>
          <w:p>
            <w:r>
              <w:rPr>
                <w:sz w:val="18"/>
              </w:rPr>
              <w:t>Automatisation</w:t>
            </w:r>
          </w:p>
        </w:tc>
        <w:tc>
          <w:tcPr>
            <w:tcW w:type="dxa" w:w="4535"/>
          </w:tcPr>
          <w:p>
            <w:r>
              <w:rPr>
                <w:sz w:val="18"/>
              </w:rPr>
              <w:t>Écriture des pipelines CI/CD et du runner</w:t>
            </w:r>
          </w:p>
        </w:tc>
        <w:tc>
          <w:tcPr>
            <w:tcW w:type="dxa" w:w="1984"/>
          </w:tcPr>
          <w:p>
            <w:r>
              <w:rPr>
                <w:sz w:val="18"/>
              </w:rPr>
              <w:t>Chaîne CI/CD opérationnelle</w:t>
            </w:r>
          </w:p>
        </w:tc>
      </w:tr>
      <w:tr>
        <w:tc>
          <w:tcPr>
            <w:tcW w:type="dxa" w:w="1701"/>
          </w:tcPr>
          <w:p>
            <w:r>
              <w:rPr>
                <w:sz w:val="18"/>
              </w:rPr>
              <w:t>Sécurisation</w:t>
            </w:r>
          </w:p>
        </w:tc>
        <w:tc>
          <w:tcPr>
            <w:tcW w:type="dxa" w:w="4535"/>
          </w:tcPr>
          <w:p>
            <w:r>
              <w:rPr>
                <w:sz w:val="18"/>
              </w:rPr>
              <w:t>Durcissement applicatif, RGPD, chiffrement</w:t>
            </w:r>
          </w:p>
        </w:tc>
        <w:tc>
          <w:tcPr>
            <w:tcW w:type="dxa" w:w="1984"/>
          </w:tcPr>
          <w:p>
            <w:r>
              <w:rPr>
                <w:sz w:val="18"/>
              </w:rPr>
              <w:t>Plan de sécurisation appliqué</w:t>
            </w:r>
          </w:p>
        </w:tc>
      </w:tr>
      <w:tr>
        <w:tc>
          <w:tcPr>
            <w:tcW w:type="dxa" w:w="1701"/>
          </w:tcPr>
          <w:p>
            <w:r>
              <w:rPr>
                <w:sz w:val="18"/>
              </w:rPr>
              <w:t>Restitution</w:t>
            </w:r>
          </w:p>
        </w:tc>
        <w:tc>
          <w:tcPr>
            <w:tcW w:type="dxa" w:w="4535"/>
          </w:tcPr>
          <w:p>
            <w:r>
              <w:rPr>
                <w:sz w:val="18"/>
              </w:rPr>
              <w:t>Rédaction du dossier et préparation de la soutenance</w:t>
            </w:r>
          </w:p>
        </w:tc>
        <w:tc>
          <w:tcPr>
            <w:tcW w:type="dxa" w:w="1984"/>
          </w:tcPr>
          <w:p>
            <w:r>
              <w:rPr>
                <w:sz w:val="18"/>
              </w:rPr>
              <w:t>Dossier + support oral</w:t>
            </w:r>
          </w:p>
        </w:tc>
      </w:tr>
    </w:tbl>
    <w:p>
      <w:pPr>
        <w:pStyle w:val="Heading2"/>
      </w:pPr>
      <w:r>
        <w:t>6.4 Livrables du bloc</w:t>
      </w:r>
    </w:p>
    <w:p>
      <w:pPr>
        <w:pStyle w:val="ListBullet"/>
      </w:pPr>
      <w:r>
        <w:t>le présent dossier de déploiement et de sécurisation ;</w:t>
      </w:r>
    </w:p>
    <w:p>
      <w:pPr>
        <w:pStyle w:val="ListBullet"/>
      </w:pPr>
      <w:r>
        <w:t>les pipelines CI/CD opérationnels (dossier .gitea/workflows/) ;</w:t>
      </w:r>
    </w:p>
    <w:p>
      <w:pPr>
        <w:pStyle w:val="ListBullet"/>
      </w:pPr>
      <w:r>
        <w:t>les mesures de sécurité intégrées au code (middleware, configuration durcie) ;</w:t>
      </w:r>
    </w:p>
    <w:p>
      <w:pPr>
        <w:pStyle w:val="ListBullet"/>
      </w:pPr>
      <w:r>
        <w:t>la soutenance orale de présentation.</w:t>
      </w:r>
    </w:p>
    <w:p>
      <w:pPr>
        <w:pStyle w:val="Heading1"/>
      </w:pPr>
      <w:r>
        <w:t>7. Conclusion</w:t>
      </w:r>
    </w:p>
    <w:p>
      <w:r>
        <w:rPr>
          <w:b w:val="0"/>
          <w:i w:val="0"/>
        </w:rPr>
        <w:t>Ce dossier a présenté l'ensemble du dispositif permettant de déployer et de sécuriser l'application CESIZen dans un cadre professionnel et conforme aux exigences d'un projet ministériel. La gestion de version repose sur une forge Gitea souveraine ; la maintenance et les évolutions sont pilotées via des tickets structurés ; le déploiement est entièrement automatisé grâce à une chaîne CI/CD (Gitea Actions → registre → Portainer) ; et la sécurité est traitée de bout en bout, du chiffrement des échanges à la conformité RGPD.</w:t>
      </w:r>
    </w:p>
    <w:p>
      <w:r>
        <w:rPr>
          <w:b w:val="0"/>
          <w:i w:val="0"/>
        </w:rPr>
        <w:t>L'ensemble de ces éléments constitue une base industrialisée, reproductible et évolutive, garantissant la fiabilité de la mise en service et la protection des données des usagers.</w:t>
      </w:r>
    </w:p>
    <w:p>
      <w:r>
        <w:br w:type="page"/>
      </w:r>
    </w:p>
    <w:p>
      <w:pPr>
        <w:pStyle w:val="Heading1"/>
      </w:pPr>
      <w:r>
        <w:t>8. Annexes</w:t>
      </w:r>
    </w:p>
    <w:p>
      <w:pPr>
        <w:pStyle w:val="Heading2"/>
      </w:pPr>
      <w:r>
        <w:t>Annexe A – Pipeline d'Intégration Continue (extrait)</w:t>
      </w:r>
    </w:p>
    <w:p>
      <w:r>
        <w:rPr>
          <w:b w:val="0"/>
          <w:i w:val="0"/>
          <w:color w:val="595959"/>
          <w:sz w:val="18"/>
        </w:rPr>
        <w:t>Fichier .gitea/workflows/ci.yml (étapes principales) :</w:t>
      </w:r>
    </w:p>
    <w:p>
      <w:pPr>
        <w:ind w:left="170"/>
        <w:shd w:val="clear" w:fill="F3F4F6"/>
      </w:pPr>
      <w:r>
        <w:rPr>
          <w:rFonts w:ascii="Consolas" w:hAnsi="Consolas"/>
          <w:color w:val="2D2D2D"/>
          <w:sz w:val="16"/>
        </w:rPr>
        <w:t>name: CI - Web (Laravel)</w:t>
      </w:r>
      <w:r>
        <w:rPr>
          <w:rFonts w:ascii="Consolas" w:hAnsi="Consolas"/>
          <w:color w:val="2D2D2D"/>
          <w:sz w:val="16"/>
        </w:rPr>
        <w:br/>
        <w:t>on:</w:t>
      </w:r>
      <w:r>
        <w:rPr>
          <w:rFonts w:ascii="Consolas" w:hAnsi="Consolas"/>
          <w:color w:val="2D2D2D"/>
          <w:sz w:val="16"/>
        </w:rPr>
        <w:br/>
        <w:t xml:space="preserve">  push: { branches: [main, develop] }</w:t>
      </w:r>
      <w:r>
        <w:rPr>
          <w:rFonts w:ascii="Consolas" w:hAnsi="Consolas"/>
          <w:color w:val="2D2D2D"/>
          <w:sz w:val="16"/>
        </w:rPr>
        <w:br/>
        <w:t xml:space="preserve">  pull_request: { branches: [main, develop] }</w:t>
      </w:r>
      <w:r>
        <w:rPr>
          <w:rFonts w:ascii="Consolas" w:hAnsi="Consolas"/>
          <w:color w:val="2D2D2D"/>
          <w:sz w:val="16"/>
        </w:rPr>
        <w:br/>
        <w:t>jobs:</w:t>
      </w:r>
      <w:r>
        <w:rPr>
          <w:rFonts w:ascii="Consolas" w:hAnsi="Consolas"/>
          <w:color w:val="2D2D2D"/>
          <w:sz w:val="16"/>
        </w:rPr>
        <w:br/>
        <w:t xml:space="preserve">  quality-and-tests:</w:t>
      </w:r>
      <w:r>
        <w:rPr>
          <w:rFonts w:ascii="Consolas" w:hAnsi="Consolas"/>
          <w:color w:val="2D2D2D"/>
          <w:sz w:val="16"/>
        </w:rPr>
        <w:br/>
        <w:t xml:space="preserve">    runs-on: ubuntu-latest</w:t>
      </w:r>
      <w:r>
        <w:rPr>
          <w:rFonts w:ascii="Consolas" w:hAnsi="Consolas"/>
          <w:color w:val="2D2D2D"/>
          <w:sz w:val="16"/>
        </w:rPr>
        <w:br/>
        <w:t xml:space="preserve">    steps:</w:t>
      </w:r>
      <w:r>
        <w:rPr>
          <w:rFonts w:ascii="Consolas" w:hAnsi="Consolas"/>
          <w:color w:val="2D2D2D"/>
          <w:sz w:val="16"/>
        </w:rPr>
        <w:br/>
        <w:t xml:space="preserve">      - uses: actions/checkout@v4</w:t>
      </w:r>
      <w:r>
        <w:rPr>
          <w:rFonts w:ascii="Consolas" w:hAnsi="Consolas"/>
          <w:color w:val="2D2D2D"/>
          <w:sz w:val="16"/>
        </w:rPr>
        <w:br/>
        <w:t xml:space="preserve">      - uses: shivammathur/setup-php@v2</w:t>
      </w:r>
      <w:r>
        <w:rPr>
          <w:rFonts w:ascii="Consolas" w:hAnsi="Consolas"/>
          <w:color w:val="2D2D2D"/>
          <w:sz w:val="16"/>
        </w:rPr>
        <w:br/>
        <w:t xml:space="preserve">        with: { php-version: '8.3' }</w:t>
      </w:r>
      <w:r>
        <w:rPr>
          <w:rFonts w:ascii="Consolas" w:hAnsi="Consolas"/>
          <w:color w:val="2D2D2D"/>
          <w:sz w:val="16"/>
        </w:rPr>
        <w:br/>
        <w:t xml:space="preserve">      - run: composer install --no-interaction --prefer-dist</w:t>
      </w:r>
      <w:r>
        <w:rPr>
          <w:rFonts w:ascii="Consolas" w:hAnsi="Consolas"/>
          <w:color w:val="2D2D2D"/>
          <w:sz w:val="16"/>
        </w:rPr>
        <w:br/>
        <w:t xml:space="preserve">      - run: cp .env.example .env &amp;&amp; php artisan key:generate</w:t>
      </w:r>
      <w:r>
        <w:rPr>
          <w:rFonts w:ascii="Consolas" w:hAnsi="Consolas"/>
          <w:color w:val="2D2D2D"/>
          <w:sz w:val="16"/>
        </w:rPr>
        <w:br/>
        <w:t xml:space="preserve">      - run: ./vendor/bin/pint --test        # style de code</w:t>
      </w:r>
      <w:r>
        <w:rPr>
          <w:rFonts w:ascii="Consolas" w:hAnsi="Consolas"/>
          <w:color w:val="2D2D2D"/>
          <w:sz w:val="16"/>
        </w:rPr>
        <w:br/>
        <w:t xml:space="preserve">      - run: composer audit                   # audit sécurité</w:t>
      </w:r>
      <w:r>
        <w:rPr>
          <w:rFonts w:ascii="Consolas" w:hAnsi="Consolas"/>
          <w:color w:val="2D2D2D"/>
          <w:sz w:val="16"/>
        </w:rPr>
        <w:br/>
        <w:t xml:space="preserve">      - run: npm ci &amp;&amp; npm run build          # build des assets</w:t>
      </w:r>
      <w:r>
        <w:rPr>
          <w:rFonts w:ascii="Consolas" w:hAnsi="Consolas"/>
          <w:color w:val="2D2D2D"/>
          <w:sz w:val="16"/>
        </w:rPr>
        <w:br/>
        <w:t xml:space="preserve">      - run: php artisan test                 # tests automatisés</w:t>
      </w:r>
    </w:p>
    <w:p>
      <w:pPr>
        <w:pStyle w:val="Heading2"/>
      </w:pPr>
      <w:r>
        <w:t>Annexe B – Pipeline de Déploiement Continu (extrait)</w:t>
      </w:r>
    </w:p>
    <w:p>
      <w:r>
        <w:rPr>
          <w:b w:val="0"/>
          <w:i w:val="0"/>
          <w:color w:val="595959"/>
          <w:sz w:val="18"/>
        </w:rPr>
        <w:t>Fichier .gitea/workflows/deploy.yml (étapes principales) :</w:t>
      </w:r>
    </w:p>
    <w:p>
      <w:pPr>
        <w:ind w:left="170"/>
        <w:shd w:val="clear" w:fill="F3F4F6"/>
      </w:pPr>
      <w:r>
        <w:rPr>
          <w:rFonts w:ascii="Consolas" w:hAnsi="Consolas"/>
          <w:color w:val="2D2D2D"/>
          <w:sz w:val="16"/>
        </w:rPr>
        <w:t>name: CD - Déploiement Web (Production)</w:t>
      </w:r>
      <w:r>
        <w:rPr>
          <w:rFonts w:ascii="Consolas" w:hAnsi="Consolas"/>
          <w:color w:val="2D2D2D"/>
          <w:sz w:val="16"/>
        </w:rPr>
        <w:br/>
        <w:t>on:</w:t>
      </w:r>
      <w:r>
        <w:rPr>
          <w:rFonts w:ascii="Consolas" w:hAnsi="Consolas"/>
          <w:color w:val="2D2D2D"/>
          <w:sz w:val="16"/>
        </w:rPr>
        <w:br/>
        <w:t xml:space="preserve">  push: { branches: [main] }</w:t>
      </w:r>
      <w:r>
        <w:rPr>
          <w:rFonts w:ascii="Consolas" w:hAnsi="Consolas"/>
          <w:color w:val="2D2D2D"/>
          <w:sz w:val="16"/>
        </w:rPr>
        <w:br/>
        <w:t>env:</w:t>
      </w:r>
      <w:r>
        <w:rPr>
          <w:rFonts w:ascii="Consolas" w:hAnsi="Consolas"/>
          <w:color w:val="2D2D2D"/>
          <w:sz w:val="16"/>
        </w:rPr>
        <w:br/>
        <w:t xml:space="preserve">  REGISTRY: gitea.sam-coffre.duckdns.org</w:t>
      </w:r>
      <w:r>
        <w:rPr>
          <w:rFonts w:ascii="Consolas" w:hAnsi="Consolas"/>
          <w:color w:val="2D2D2D"/>
          <w:sz w:val="16"/>
        </w:rPr>
        <w:br/>
        <w:t xml:space="preserve">  IMAGE_NAME: ${{ github.repository_owner }}/cesizen-web</w:t>
      </w:r>
      <w:r>
        <w:rPr>
          <w:rFonts w:ascii="Consolas" w:hAnsi="Consolas"/>
          <w:color w:val="2D2D2D"/>
          <w:sz w:val="16"/>
        </w:rPr>
        <w:br/>
        <w:t>jobs:</w:t>
      </w:r>
      <w:r>
        <w:rPr>
          <w:rFonts w:ascii="Consolas" w:hAnsi="Consolas"/>
          <w:color w:val="2D2D2D"/>
          <w:sz w:val="16"/>
        </w:rPr>
        <w:br/>
        <w:t xml:space="preserve">  build-and-deploy:</w:t>
      </w:r>
      <w:r>
        <w:rPr>
          <w:rFonts w:ascii="Consolas" w:hAnsi="Consolas"/>
          <w:color w:val="2D2D2D"/>
          <w:sz w:val="16"/>
        </w:rPr>
        <w:br/>
        <w:t xml:space="preserve">    runs-on: ubuntu-latest</w:t>
      </w:r>
      <w:r>
        <w:rPr>
          <w:rFonts w:ascii="Consolas" w:hAnsi="Consolas"/>
          <w:color w:val="2D2D2D"/>
          <w:sz w:val="16"/>
        </w:rPr>
        <w:br/>
        <w:t xml:space="preserve">    steps:</w:t>
      </w:r>
      <w:r>
        <w:rPr>
          <w:rFonts w:ascii="Consolas" w:hAnsi="Consolas"/>
          <w:color w:val="2D2D2D"/>
          <w:sz w:val="16"/>
        </w:rPr>
        <w:br/>
        <w:t xml:space="preserve">      - uses: actions/checkout@v4</w:t>
      </w:r>
      <w:r>
        <w:rPr>
          <w:rFonts w:ascii="Consolas" w:hAnsi="Consolas"/>
          <w:color w:val="2D2D2D"/>
          <w:sz w:val="16"/>
        </w:rPr>
        <w:br/>
        <w:t xml:space="preserve">      - uses: docker/login-action@v3</w:t>
      </w:r>
      <w:r>
        <w:rPr>
          <w:rFonts w:ascii="Consolas" w:hAnsi="Consolas"/>
          <w:color w:val="2D2D2D"/>
          <w:sz w:val="16"/>
        </w:rPr>
        <w:br/>
        <w:t xml:space="preserve">        with:</w:t>
      </w:r>
      <w:r>
        <w:rPr>
          <w:rFonts w:ascii="Consolas" w:hAnsi="Consolas"/>
          <w:color w:val="2D2D2D"/>
          <w:sz w:val="16"/>
        </w:rPr>
        <w:br/>
        <w:t xml:space="preserve">          registry: ${{ env.REGISTRY }}</w:t>
      </w:r>
      <w:r>
        <w:rPr>
          <w:rFonts w:ascii="Consolas" w:hAnsi="Consolas"/>
          <w:color w:val="2D2D2D"/>
          <w:sz w:val="16"/>
        </w:rPr>
        <w:br/>
        <w:t xml:space="preserve">          username: ${{ secrets.REGISTRY_USERNAME }}</w:t>
      </w:r>
      <w:r>
        <w:rPr>
          <w:rFonts w:ascii="Consolas" w:hAnsi="Consolas"/>
          <w:color w:val="2D2D2D"/>
          <w:sz w:val="16"/>
        </w:rPr>
        <w:br/>
        <w:t xml:space="preserve">          password: ${{ secrets.REGISTRY_TOKEN }}</w:t>
      </w:r>
      <w:r>
        <w:rPr>
          <w:rFonts w:ascii="Consolas" w:hAnsi="Consolas"/>
          <w:color w:val="2D2D2D"/>
          <w:sz w:val="16"/>
        </w:rPr>
        <w:br/>
        <w:t xml:space="preserve">      - uses: docker/build-push-action@v6      # build + push image</w:t>
      </w:r>
      <w:r>
        <w:rPr>
          <w:rFonts w:ascii="Consolas" w:hAnsi="Consolas"/>
          <w:color w:val="2D2D2D"/>
          <w:sz w:val="16"/>
        </w:rPr>
        <w:br/>
        <w:t xml:space="preserve">        with: { context: ./WEB, push: true, tags: ... }</w:t>
      </w:r>
      <w:r>
        <w:rPr>
          <w:rFonts w:ascii="Consolas" w:hAnsi="Consolas"/>
          <w:color w:val="2D2D2D"/>
          <w:sz w:val="16"/>
        </w:rPr>
        <w:br/>
        <w:t xml:space="preserve">      - run: curl -X POST "${{ secrets.PORTAINER_WEBHOOK_URL }}"   # redéploiement</w:t>
      </w:r>
    </w:p>
    <w:p>
      <w:pPr>
        <w:pStyle w:val="Heading2"/>
      </w:pPr>
      <w:r>
        <w:t>Annexe C – Glossaire</w:t>
      </w:r>
    </w:p>
    <w:tbl>
      <w:tblPr>
        <w:tblW w:type="auto" w:w="0"/>
        <w:jc w:val="center"/>
        <w:tblLook w:firstColumn="1" w:firstRow="1" w:lastColumn="0" w:lastRow="0" w:noHBand="0" w:noVBand="1" w:val="04A0"/>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Grid>
        <w:gridCol w:w="4320"/>
        <w:gridCol w:w="4320"/>
      </w:tblGrid>
      <w:tr>
        <w:tc>
          <w:tcPr>
            <w:tcW w:type="dxa" w:w="1701"/>
            <w:shd w:val="clear" w:fill="0F4761"/>
          </w:tcPr>
          <w:p>
            <w:r>
              <w:rPr>
                <w:b/>
                <w:color w:val="FFFFFF"/>
                <w:sz w:val="18"/>
              </w:rPr>
              <w:t>Terme</w:t>
            </w:r>
          </w:p>
        </w:tc>
        <w:tc>
          <w:tcPr>
            <w:tcW w:type="dxa" w:w="6520"/>
            <w:shd w:val="clear" w:fill="0F4761"/>
          </w:tcPr>
          <w:p>
            <w:r>
              <w:rPr>
                <w:b/>
                <w:color w:val="FFFFFF"/>
                <w:sz w:val="18"/>
              </w:rPr>
              <w:t>Définition</w:t>
            </w:r>
          </w:p>
        </w:tc>
      </w:tr>
      <w:tr>
        <w:tc>
          <w:tcPr>
            <w:tcW w:type="dxa" w:w="1701"/>
          </w:tcPr>
          <w:p>
            <w:r>
              <w:rPr>
                <w:sz w:val="18"/>
              </w:rPr>
              <w:t>CI/CD</w:t>
            </w:r>
          </w:p>
        </w:tc>
        <w:tc>
          <w:tcPr>
            <w:tcW w:type="dxa" w:w="6520"/>
          </w:tcPr>
          <w:p>
            <w:r>
              <w:rPr>
                <w:sz w:val="18"/>
              </w:rPr>
              <w:t>Intégration Continue / Déploiement Continu : automatisation des tests et de la livraison.</w:t>
            </w:r>
          </w:p>
        </w:tc>
      </w:tr>
      <w:tr>
        <w:tc>
          <w:tcPr>
            <w:tcW w:type="dxa" w:w="1701"/>
          </w:tcPr>
          <w:p>
            <w:r>
              <w:rPr>
                <w:sz w:val="18"/>
              </w:rPr>
              <w:t>Gitea</w:t>
            </w:r>
          </w:p>
        </w:tc>
        <w:tc>
          <w:tcPr>
            <w:tcW w:type="dxa" w:w="6520"/>
          </w:tcPr>
          <w:p>
            <w:r>
              <w:rPr>
                <w:sz w:val="18"/>
              </w:rPr>
              <w:t>Forge logicielle open source auto-hébergée (gestion de code, tickets, CI).</w:t>
            </w:r>
          </w:p>
        </w:tc>
      </w:tr>
      <w:tr>
        <w:tc>
          <w:tcPr>
            <w:tcW w:type="dxa" w:w="1701"/>
          </w:tcPr>
          <w:p>
            <w:r>
              <w:rPr>
                <w:sz w:val="18"/>
              </w:rPr>
              <w:t>Docker</w:t>
            </w:r>
          </w:p>
        </w:tc>
        <w:tc>
          <w:tcPr>
            <w:tcW w:type="dxa" w:w="6520"/>
          </w:tcPr>
          <w:p>
            <w:r>
              <w:rPr>
                <w:sz w:val="18"/>
              </w:rPr>
              <w:t>Technologie de conteneurisation isolant l'application et ses dépendances.</w:t>
            </w:r>
          </w:p>
        </w:tc>
      </w:tr>
      <w:tr>
        <w:tc>
          <w:tcPr>
            <w:tcW w:type="dxa" w:w="1701"/>
          </w:tcPr>
          <w:p>
            <w:r>
              <w:rPr>
                <w:sz w:val="18"/>
              </w:rPr>
              <w:t>Portainer</w:t>
            </w:r>
          </w:p>
        </w:tc>
        <w:tc>
          <w:tcPr>
            <w:tcW w:type="dxa" w:w="6520"/>
          </w:tcPr>
          <w:p>
            <w:r>
              <w:rPr>
                <w:sz w:val="18"/>
              </w:rPr>
              <w:t>Interface web d'orchestration et de gestion de conteneurs Docker.</w:t>
            </w:r>
          </w:p>
        </w:tc>
      </w:tr>
      <w:tr>
        <w:tc>
          <w:tcPr>
            <w:tcW w:type="dxa" w:w="1701"/>
          </w:tcPr>
          <w:p>
            <w:r>
              <w:rPr>
                <w:sz w:val="18"/>
              </w:rPr>
              <w:t>Registry</w:t>
            </w:r>
          </w:p>
        </w:tc>
        <w:tc>
          <w:tcPr>
            <w:tcW w:type="dxa" w:w="6520"/>
          </w:tcPr>
          <w:p>
            <w:r>
              <w:rPr>
                <w:sz w:val="18"/>
              </w:rPr>
              <w:t>Registre stockant les images Docker publiées.</w:t>
            </w:r>
          </w:p>
        </w:tc>
      </w:tr>
      <w:tr>
        <w:tc>
          <w:tcPr>
            <w:tcW w:type="dxa" w:w="1701"/>
          </w:tcPr>
          <w:p>
            <w:r>
              <w:rPr>
                <w:sz w:val="18"/>
              </w:rPr>
              <w:t>Webhook</w:t>
            </w:r>
          </w:p>
        </w:tc>
        <w:tc>
          <w:tcPr>
            <w:tcW w:type="dxa" w:w="6520"/>
          </w:tcPr>
          <w:p>
            <w:r>
              <w:rPr>
                <w:sz w:val="18"/>
              </w:rPr>
              <w:t>URL déclenchant une action à distance (ici, le redéploiement).</w:t>
            </w:r>
          </w:p>
        </w:tc>
      </w:tr>
      <w:tr>
        <w:tc>
          <w:tcPr>
            <w:tcW w:type="dxa" w:w="1701"/>
          </w:tcPr>
          <w:p>
            <w:r>
              <w:rPr>
                <w:sz w:val="18"/>
              </w:rPr>
              <w:t>RGPD</w:t>
            </w:r>
          </w:p>
        </w:tc>
        <w:tc>
          <w:tcPr>
            <w:tcW w:type="dxa" w:w="6520"/>
          </w:tcPr>
          <w:p>
            <w:r>
              <w:rPr>
                <w:sz w:val="18"/>
              </w:rPr>
              <w:t>Règlement Général sur la Protection des Données.</w:t>
            </w:r>
          </w:p>
        </w:tc>
      </w:tr>
      <w:tr>
        <w:tc>
          <w:tcPr>
            <w:tcW w:type="dxa" w:w="1701"/>
          </w:tcPr>
          <w:p>
            <w:r>
              <w:rPr>
                <w:sz w:val="18"/>
              </w:rPr>
              <w:t>HSTS</w:t>
            </w:r>
          </w:p>
        </w:tc>
        <w:tc>
          <w:tcPr>
            <w:tcW w:type="dxa" w:w="6520"/>
          </w:tcPr>
          <w:p>
            <w:r>
              <w:rPr>
                <w:sz w:val="18"/>
              </w:rPr>
              <w:t>En-tête forçant l'usage exclusif du HTTPS par le navigateur.</w:t>
            </w:r>
          </w:p>
        </w:tc>
      </w:tr>
      <w:tr>
        <w:tc>
          <w:tcPr>
            <w:tcW w:type="dxa" w:w="1701"/>
          </w:tcPr>
          <w:p>
            <w:r>
              <w:rPr>
                <w:sz w:val="18"/>
              </w:rPr>
              <w:t>CSP</w:t>
            </w:r>
          </w:p>
        </w:tc>
        <w:tc>
          <w:tcPr>
            <w:tcW w:type="dxa" w:w="6520"/>
          </w:tcPr>
          <w:p>
            <w:r>
              <w:rPr>
                <w:sz w:val="18"/>
              </w:rPr>
              <w:t>Content-Security-Policy : restreint les sources de contenu autorisées.</w:t>
            </w:r>
          </w:p>
        </w:tc>
      </w:tr>
      <w:tr>
        <w:tc>
          <w:tcPr>
            <w:tcW w:type="dxa" w:w="1701"/>
          </w:tcPr>
          <w:p>
            <w:r>
              <w:rPr>
                <w:sz w:val="18"/>
              </w:rPr>
              <w:t>Sanctum</w:t>
            </w:r>
          </w:p>
        </w:tc>
        <w:tc>
          <w:tcPr>
            <w:tcW w:type="dxa" w:w="6520"/>
          </w:tcPr>
          <w:p>
            <w:r>
              <w:rPr>
                <w:sz w:val="18"/>
              </w:rPr>
              <w:t>Système d'authentification par jetons de Laravel pour les API.</w:t>
            </w:r>
          </w:p>
        </w:tc>
      </w:tr>
      <w:tr>
        <w:tc>
          <w:tcPr>
            <w:tcW w:type="dxa" w:w="1701"/>
          </w:tcPr>
          <w:p>
            <w:r>
              <w:rPr>
                <w:sz w:val="18"/>
              </w:rPr>
              <w:t>SemVer</w:t>
            </w:r>
          </w:p>
        </w:tc>
        <w:tc>
          <w:tcPr>
            <w:tcW w:type="dxa" w:w="6520"/>
          </w:tcPr>
          <w:p>
            <w:r>
              <w:rPr>
                <w:sz w:val="18"/>
              </w:rPr>
              <w:t>Versionnage sémantique (MAJEUR.MINEUR.CORRECTIF).</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color w:val="595959"/>
        <w:sz w:val="16"/>
      </w:rPr>
      <w:t>CESIZen</w:t>
      <w:tab/>
      <w:t>Sam DEPARDIEU</w:t>
      <w:tab/>
    </w:r>
    <w:r>
      <w:rPr>
        <w:color w:val="595959"/>
        <w:sz w:val="16"/>
      </w:rP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color w:val="595959"/>
        <w:sz w:val="16"/>
      </w:rPr>
      <w:tab/>
      <w:t>BLOC 3 – Déploiement &amp; Sécurisation</w:t>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Arial" w:hAnsi="Arial"/>
      <w:color w:val="212121"/>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ascii="Arial" w:hAnsi="Arial"/>
      <w:b/>
      <w:bCs/>
      <w:color w:val="0F4761"/>
      <w:sz w:val="36"/>
      <w:szCs w:val="28"/>
    </w:rPr>
  </w:style>
  <w:style w:type="paragraph" w:styleId="Heading2">
    <w:name w:val="heading 2"/>
    <w:basedOn w:val="Normal"/>
    <w:next w:val="Normal"/>
    <w:link w:val="Heading2Char"/>
    <w:uiPriority w:val="9"/>
    <w:unhideWhenUsed/>
    <w:qFormat/>
    <w:rsid w:val="00FC693F"/>
    <w:pPr>
      <w:keepNext/>
      <w:keepLines/>
      <w:spacing w:before="200" w:after="120"/>
      <w:outlineLvl w:val="1"/>
    </w:pPr>
    <w:rPr>
      <w:rFonts w:asciiTheme="majorHAnsi" w:eastAsiaTheme="majorEastAsia" w:hAnsiTheme="majorHAnsi" w:cstheme="majorBidi" w:ascii="Arial" w:hAnsi="Arial"/>
      <w:b/>
      <w:bCs/>
      <w:color w:val="0F4761"/>
      <w:sz w:val="28"/>
      <w:szCs w:val="26"/>
    </w:rPr>
  </w:style>
  <w:style w:type="paragraph" w:styleId="Heading3">
    <w:name w:val="heading 3"/>
    <w:basedOn w:val="Normal"/>
    <w:next w:val="Normal"/>
    <w:link w:val="Heading3Char"/>
    <w:uiPriority w:val="9"/>
    <w:unhideWhenUsed/>
    <w:qFormat/>
    <w:rsid w:val="00FC693F"/>
    <w:pPr>
      <w:keepNext/>
      <w:keepLines/>
      <w:spacing w:before="200" w:after="120"/>
      <w:outlineLvl w:val="2"/>
    </w:pPr>
    <w:rPr>
      <w:rFonts w:asciiTheme="majorHAnsi" w:eastAsiaTheme="majorEastAsia" w:hAnsiTheme="majorHAnsi" w:cstheme="majorBidi" w:ascii="Arial" w:hAnsi="Arial"/>
      <w:b/>
      <w:bCs/>
      <w:color w:val="0F4761"/>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